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D1758"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</w:p>
    <w:p w14:paraId="63016CC7"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21CD29BE">
      <w:pPr>
        <w:jc w:val="center"/>
        <w:rPr>
          <w:rFonts w:ascii="Times New Roman" w:hAnsi="Times New Roman" w:eastAsia="方正小标宋_GBK" w:cs="Times New Roman"/>
          <w:sz w:val="52"/>
          <w:szCs w:val="52"/>
        </w:rPr>
      </w:pPr>
      <w:r>
        <w:rPr>
          <w:rFonts w:ascii="Times New Roman" w:hAnsi="Times New Roman" w:eastAsia="方正小标宋_GBK" w:cs="Times New Roman"/>
          <w:sz w:val="52"/>
          <w:szCs w:val="52"/>
        </w:rPr>
        <w:t>202</w:t>
      </w:r>
      <w:r>
        <w:rPr>
          <w:rFonts w:hint="eastAsia" w:eastAsia="方正小标宋_GBK" w:cs="Times New Roman"/>
          <w:sz w:val="52"/>
          <w:szCs w:val="52"/>
          <w:lang w:val="en-US" w:eastAsia="zh-CN"/>
        </w:rPr>
        <w:t>4</w:t>
      </w:r>
      <w:r>
        <w:rPr>
          <w:rFonts w:ascii="Times New Roman" w:hAnsi="Times New Roman" w:eastAsia="方正小标宋_GBK" w:cs="Times New Roman"/>
          <w:sz w:val="52"/>
          <w:szCs w:val="52"/>
        </w:rPr>
        <w:t>年度</w:t>
      </w:r>
      <w:r>
        <w:rPr>
          <w:rFonts w:hint="eastAsia" w:eastAsia="方正小标宋_GBK" w:cs="Times New Roman"/>
          <w:sz w:val="52"/>
          <w:szCs w:val="52"/>
          <w:lang w:val="en-US" w:eastAsia="zh-CN"/>
        </w:rPr>
        <w:t>土桥农场管理区</w:t>
      </w:r>
      <w:r>
        <w:rPr>
          <w:rFonts w:hint="eastAsia" w:eastAsia="方正小标宋_GBK" w:cs="Times New Roman"/>
          <w:sz w:val="52"/>
          <w:szCs w:val="52"/>
          <w:lang w:eastAsia="zh-CN"/>
        </w:rPr>
        <w:t>部门</w:t>
      </w:r>
      <w:r>
        <w:rPr>
          <w:rFonts w:ascii="Times New Roman" w:hAnsi="Times New Roman" w:eastAsia="方正小标宋_GBK" w:cs="Times New Roman"/>
          <w:sz w:val="52"/>
          <w:szCs w:val="52"/>
        </w:rPr>
        <w:t>整体支出</w:t>
      </w:r>
    </w:p>
    <w:p w14:paraId="33BF6CEF">
      <w:pPr>
        <w:jc w:val="center"/>
        <w:rPr>
          <w:rFonts w:ascii="Times New Roman" w:hAnsi="Times New Roman" w:eastAsia="方正小标宋_GBK" w:cs="Times New Roman"/>
          <w:sz w:val="52"/>
          <w:szCs w:val="52"/>
        </w:rPr>
      </w:pPr>
      <w:r>
        <w:rPr>
          <w:rFonts w:ascii="Times New Roman" w:hAnsi="Times New Roman" w:eastAsia="方正小标宋_GBK" w:cs="Times New Roman"/>
          <w:sz w:val="52"/>
          <w:szCs w:val="52"/>
        </w:rPr>
        <w:t>绩效自评报告</w:t>
      </w:r>
    </w:p>
    <w:p w14:paraId="25B907D9">
      <w:pPr>
        <w:jc w:val="center"/>
        <w:rPr>
          <w:rFonts w:ascii="Times New Roman" w:hAnsi="Times New Roman" w:eastAsia="方正小标宋_GBK" w:cs="Times New Roman"/>
          <w:b/>
          <w:sz w:val="52"/>
          <w:szCs w:val="52"/>
        </w:rPr>
      </w:pPr>
    </w:p>
    <w:p w14:paraId="1B45C18F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09A65FCA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7288120A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056E3678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6DE6D37E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274D4DD0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5442A653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35D7AAD5">
      <w:pPr>
        <w:spacing w:line="600" w:lineRule="exact"/>
        <w:ind w:firstLine="2400" w:firstLineChars="600"/>
        <w:jc w:val="both"/>
        <w:rPr>
          <w:rFonts w:hint="default" w:ascii="仿宋" w:hAnsi="仿宋" w:eastAsia="仿宋" w:cs="仿宋"/>
          <w:sz w:val="40"/>
          <w:szCs w:val="4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40"/>
          <w:szCs w:val="40"/>
        </w:rPr>
        <w:t>单位名称：</w:t>
      </w:r>
      <w:r>
        <w:rPr>
          <w:rFonts w:hint="eastAsia" w:ascii="仿宋" w:hAnsi="仿宋" w:eastAsia="仿宋" w:cs="仿宋"/>
          <w:sz w:val="40"/>
          <w:szCs w:val="40"/>
          <w:u w:val="single"/>
          <w:lang w:eastAsia="zh-CN"/>
        </w:rPr>
        <w:t>（盖章）</w:t>
      </w:r>
      <w:r>
        <w:rPr>
          <w:rFonts w:hint="eastAsia" w:ascii="仿宋" w:hAnsi="仿宋" w:eastAsia="仿宋" w:cs="仿宋"/>
          <w:sz w:val="40"/>
          <w:szCs w:val="40"/>
          <w:u w:val="single"/>
          <w:lang w:val="en-US" w:eastAsia="zh-CN"/>
        </w:rPr>
        <w:t xml:space="preserve">    </w:t>
      </w:r>
    </w:p>
    <w:p w14:paraId="5DB70F22">
      <w:pPr>
        <w:spacing w:line="600" w:lineRule="exact"/>
        <w:ind w:firstLine="2800" w:firstLineChars="700"/>
        <w:jc w:val="both"/>
        <w:rPr>
          <w:rFonts w:hint="eastAsia" w:ascii="仿宋" w:hAnsi="仿宋" w:eastAsia="仿宋" w:cs="仿宋"/>
          <w:sz w:val="40"/>
          <w:szCs w:val="40"/>
        </w:rPr>
      </w:pP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2025</w:t>
      </w:r>
      <w:r>
        <w:rPr>
          <w:rFonts w:hint="eastAsia" w:ascii="仿宋" w:hAnsi="仿宋" w:eastAsia="仿宋" w:cs="仿宋"/>
          <w:sz w:val="40"/>
          <w:szCs w:val="40"/>
        </w:rPr>
        <w:t>年</w:t>
      </w: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 xml:space="preserve"> 4 </w:t>
      </w:r>
      <w:r>
        <w:rPr>
          <w:rFonts w:hint="eastAsia" w:ascii="仿宋" w:hAnsi="仿宋" w:eastAsia="仿宋" w:cs="仿宋"/>
          <w:sz w:val="40"/>
          <w:szCs w:val="40"/>
        </w:rPr>
        <w:t>月</w:t>
      </w: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 xml:space="preserve"> 10</w:t>
      </w:r>
      <w:r>
        <w:rPr>
          <w:rFonts w:hint="eastAsia" w:ascii="仿宋" w:hAnsi="仿宋" w:eastAsia="仿宋" w:cs="仿宋"/>
          <w:sz w:val="40"/>
          <w:szCs w:val="40"/>
        </w:rPr>
        <w:t>日</w:t>
      </w:r>
    </w:p>
    <w:p w14:paraId="2C613708"/>
    <w:p w14:paraId="71F1B5A6"/>
    <w:p w14:paraId="1C5AD166"/>
    <w:p w14:paraId="4ECBC098"/>
    <w:p w14:paraId="36BCAB19"/>
    <w:p w14:paraId="4F1A4CBE"/>
    <w:p w14:paraId="049BDBEB"/>
    <w:p w14:paraId="286C5CB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4ED2B99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202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年度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土桥农场管理区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部门整体支出绩效自评报告</w:t>
      </w:r>
    </w:p>
    <w:p w14:paraId="6068CE5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5DBC8EA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一、部门、单位基本情况</w:t>
      </w:r>
    </w:p>
    <w:p w14:paraId="3886772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（一）机构设置情况</w:t>
      </w:r>
    </w:p>
    <w:p w14:paraId="631AAA0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根据编委核定，我管理区内设 7 个部门站所，全部纳入 2024 年部门预算编制范围。内设部门站所分别是 1、行政部门； 2、财政所；3、退役军人服务站；4、社会事务综合服务中心； 5、农业综合服务中心；6、政务便民服务中心； 7、综合执法 大队。 所属单位，无</w:t>
      </w:r>
    </w:p>
    <w:p w14:paraId="3CF2D78D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人员编制情况</w:t>
      </w:r>
    </w:p>
    <w:p w14:paraId="326181F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本单位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编制人数45人，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年未实有人数3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人，比上年3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人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减少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了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人。人员变化的主要原因是：一是人事调整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。</w:t>
      </w:r>
    </w:p>
    <w:p w14:paraId="5F8DCEB8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0" w:firstLine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主要职能职责</w:t>
      </w:r>
    </w:p>
    <w:p w14:paraId="0C835EA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1、党政办公室主要职责：做好机关文秘、行政事务、信访等日常工作：负责纪检（检察）、组织、宣传、统战、机构编制、人事管理等工作；负责联系协调武装部、人大、工会、共青团、妇联等组织。</w:t>
      </w:r>
    </w:p>
    <w:p w14:paraId="3D1ECF3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2、财政所的工作职责：做好全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管理区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财务收支管理工作；做好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管理区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机关办公用品用其它物品的购置、发放工作；做好惠农资金的管理、发放和监督工作；完成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管理区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党委、政府交办的其他工作事项。</w:t>
      </w:r>
    </w:p>
    <w:p w14:paraId="7BAF81E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3、人口与计划生育办公室主要职责：依法履行宣传贯彻国家计划生育的方针、政策，落实人口与计划生育的各项任务等职责。 </w:t>
      </w:r>
    </w:p>
    <w:p w14:paraId="2CC80A8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4、劳动保障站工作职责：做好就业困难人员及零就业家庭认定工作；做好群众领取失业保险金的认证工作；做好离退休人员养老认证及劳务输出工作。</w:t>
      </w:r>
    </w:p>
    <w:p w14:paraId="6380951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5、农业综合站工作职责；做好农业推广工作；搞好农业良种、农机补贴工作；抓好水利、防汛、畜牧及动物防疫工作。</w:t>
      </w:r>
    </w:p>
    <w:p w14:paraId="70259AB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6、文化站工作职责；对广大群众进行时政宣传和政策法制宣传教育；组织开展丰富多彩的文化娱乐活动，组织电影、电视、录像放映活动；利用文化信息资源共享工程举办各类文化艺术培训；指导和辅导农村文化室开展各种文化活动。</w:t>
      </w:r>
    </w:p>
    <w:p w14:paraId="36AD933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7、环境卫生规划站工作职责；认真贯彻落实环境保护法律、法规，积极宣传环境保护的方针和政策，普及环境知识；做好管辖区内农村环境保护工作，认真开展引用水源地保护和监督；积极开展环境优美乡镇、生态村、绿色社区的创建工作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ab/>
      </w:r>
    </w:p>
    <w:p w14:paraId="45E4D0EF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0" w:firstLine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绩效目标设定情况</w:t>
      </w:r>
    </w:p>
    <w:p w14:paraId="151373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40" w:firstLineChars="20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按照2023年预算，收支平衡，完成: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经济发展与重点工程；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深化改革与依法治镇；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社会治理与民生保障；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文化建设与生态保护；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从严治党与机关管理；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公众评估与内部评估。在完成部门职能目标中合理分配人、财、物，使之达到较高的工作效率和水平。</w:t>
      </w:r>
      <w:r>
        <w:rPr>
          <w:rFonts w:hint="eastAsia" w:ascii="仿宋" w:hAnsi="仿宋" w:eastAsia="仿宋" w:cs="仿宋"/>
          <w:color w:val="000000"/>
          <w:kern w:val="0"/>
          <w:sz w:val="20"/>
          <w:szCs w:val="20"/>
        </w:rPr>
        <w:t>　</w:t>
      </w:r>
    </w:p>
    <w:p w14:paraId="34D1901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二、部门整体支出管理及使用情况</w:t>
      </w:r>
    </w:p>
    <w:p w14:paraId="642CDCD3"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 w14:paraId="55056C83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 w14:paraId="25DC113E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年年初预算安排收入</w:t>
      </w:r>
      <w:r>
        <w:rPr>
          <w:rFonts w:hint="eastAsia" w:cs="Times New Roman"/>
          <w:sz w:val="32"/>
          <w:szCs w:val="32"/>
          <w:lang w:val="en-US" w:eastAsia="zh-CN"/>
        </w:rPr>
        <w:t>496.9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cs="Times New Roman"/>
          <w:sz w:val="32"/>
          <w:szCs w:val="32"/>
          <w:lang w:val="en-US" w:eastAsia="zh-CN"/>
        </w:rPr>
        <w:t>496.9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万元202</w:t>
      </w:r>
      <w:r>
        <w:rPr>
          <w:rFonts w:hint="eastAsia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年年初预算安排支出</w:t>
      </w:r>
      <w:r>
        <w:rPr>
          <w:rFonts w:hint="eastAsia" w:cs="Times New Roman"/>
          <w:sz w:val="32"/>
          <w:szCs w:val="32"/>
          <w:lang w:val="en-US" w:eastAsia="zh-CN"/>
        </w:rPr>
        <w:t>496.9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其中：基本支出</w:t>
      </w:r>
      <w:r>
        <w:rPr>
          <w:rFonts w:ascii="宋体" w:hAnsi="宋体" w:eastAsia="宋体" w:cs="宋体"/>
          <w:sz w:val="32"/>
          <w:szCs w:val="32"/>
        </w:rPr>
        <w:t>435.59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万元，项目支出</w:t>
      </w:r>
      <w:r>
        <w:rPr>
          <w:rFonts w:hint="eastAsia" w:cs="Times New Roman"/>
          <w:sz w:val="32"/>
          <w:szCs w:val="32"/>
          <w:lang w:val="en-US" w:eastAsia="zh-CN"/>
        </w:rPr>
        <w:t>61.32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7168F47A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 w14:paraId="10970628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cs="Times New Roman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年决算总收入</w:t>
      </w:r>
      <w:r>
        <w:rPr>
          <w:rFonts w:hint="eastAsia" w:cs="Times New Roman"/>
          <w:sz w:val="32"/>
          <w:szCs w:val="32"/>
          <w:lang w:val="en-US" w:eastAsia="zh-CN"/>
        </w:rPr>
        <w:t>1078.95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万元，较预算增加</w:t>
      </w:r>
      <w:r>
        <w:rPr>
          <w:rFonts w:hint="eastAsia" w:cs="Times New Roman"/>
          <w:sz w:val="32"/>
          <w:szCs w:val="32"/>
          <w:lang w:val="en-US" w:eastAsia="zh-CN"/>
        </w:rPr>
        <w:t>582.06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万元，总支出</w:t>
      </w:r>
      <w:r>
        <w:rPr>
          <w:rFonts w:hint="eastAsia" w:cs="Times New Roman"/>
          <w:sz w:val="32"/>
          <w:szCs w:val="32"/>
          <w:lang w:val="en-US" w:eastAsia="zh-CN"/>
        </w:rPr>
        <w:t>1078.95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cs="Times New Roman"/>
          <w:sz w:val="32"/>
          <w:szCs w:val="32"/>
          <w:lang w:val="en-US" w:eastAsia="zh-CN"/>
        </w:rPr>
        <w:t>660.13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cs="Times New Roman"/>
          <w:sz w:val="32"/>
          <w:szCs w:val="32"/>
          <w:lang w:val="en-US" w:eastAsia="zh-CN"/>
        </w:rPr>
        <w:t>61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cs="Times New Roman"/>
          <w:sz w:val="32"/>
          <w:szCs w:val="32"/>
          <w:lang w:val="en-US" w:eastAsia="zh-CN"/>
        </w:rPr>
        <w:t>418.82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cs="Times New Roman"/>
          <w:sz w:val="32"/>
          <w:szCs w:val="32"/>
          <w:lang w:val="en-US" w:eastAsia="zh-CN"/>
        </w:rPr>
        <w:t>39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％。差异产生的主要原因是</w:t>
      </w:r>
      <w:r>
        <w:rPr>
          <w:rFonts w:hint="eastAsia" w:cs="Times New Roman"/>
          <w:sz w:val="32"/>
          <w:szCs w:val="32"/>
          <w:lang w:val="en-US" w:eastAsia="zh-CN"/>
        </w:rPr>
        <w:t>人员增加，乡村振兴项目增加费用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003FDC4A"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 w14:paraId="36610538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 w14:paraId="44B15E62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cs="Times New Roman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  <w:r>
        <w:rPr>
          <w:rFonts w:hint="eastAsia" w:cs="Times New Roman"/>
          <w:sz w:val="32"/>
          <w:szCs w:val="32"/>
          <w:lang w:val="en-US" w:eastAsia="zh-CN"/>
        </w:rPr>
        <w:t>年初预算未分配三公经费。</w:t>
      </w:r>
    </w:p>
    <w:p w14:paraId="04B0BE06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 w14:paraId="087AFEA1">
      <w:pPr>
        <w:spacing w:line="600" w:lineRule="exact"/>
        <w:ind w:firstLine="640" w:firstLineChars="200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cs="Times New Roman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年度政府采购支出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5B0B01C6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政府性基金预算支出情况</w:t>
      </w:r>
    </w:p>
    <w:p w14:paraId="1C06032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无</w:t>
      </w:r>
    </w:p>
    <w:p w14:paraId="5366553B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0" w:firstLine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国有资本经营预算支出情况</w:t>
      </w:r>
    </w:p>
    <w:p w14:paraId="1E8D382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无</w:t>
      </w:r>
    </w:p>
    <w:p w14:paraId="4C122B61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0" w:firstLine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社会保险基金预算支出情况</w:t>
      </w:r>
    </w:p>
    <w:p w14:paraId="73959BD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无</w:t>
      </w:r>
    </w:p>
    <w:p w14:paraId="704D037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六、部门整体支出绩效情况</w:t>
      </w:r>
    </w:p>
    <w:p w14:paraId="50FFD72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（一）综合评价结论。</w:t>
      </w:r>
    </w:p>
    <w:p w14:paraId="24B91E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年初制订的绩效工作目标到年底实际已全部完成，且按时按质完成。制定工作目标时要按照切实可行的原则，要细化分解工作任务，与工作计划与资金相匹配；推进绩效工资过程中要遵守规定，有效使用资金，按时按序进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72A96F45"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评价指标分析（或综合评价情况）。</w:t>
      </w:r>
    </w:p>
    <w:p w14:paraId="447B82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 w:bidi="ar-SA"/>
        </w:rPr>
        <w:t>一是打造“三化”一流营商环境。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lang w:val="en-US" w:eastAsia="zh-CN" w:bidi="ar-SA"/>
        </w:rPr>
        <w:t>密切联系企业开展走访活动，积极处理企业提出的诉求，处理企业诉求14条、完成优化营商环境新闻报道14篇；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推进经营主体培育行动，新增经营主体2个；创新招商引资方式，</w:t>
      </w: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lang w:val="en-US" w:eastAsia="zh-CN" w:bidi="ar-SA"/>
        </w:rPr>
        <w:t>完成招商引资企业1家，5月与邵阳竹科技有限公司签约落地茅坪工业园区。</w:t>
      </w:r>
    </w:p>
    <w:p w14:paraId="50656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560" w:lineRule="exact"/>
        <w:ind w:left="0" w:firstLine="643" w:firstLineChars="200"/>
        <w:jc w:val="both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highlight w:val="none"/>
          <w:lang w:val="en-US" w:eastAsia="zh-CN" w:bidi="ar-SA"/>
        </w:rPr>
        <w:t>二是培育发展区域主导产业。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争取省农垦欠发达国有农场巩固提升资金355万元，突出特色加快现代农业高效发展，</w:t>
      </w: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探索多元化鲜果种植，打造“红美人”精品果园60余亩，发展秋月梨种植200亩，进一步促进产业兴旺，推动产业振兴。</w:t>
      </w:r>
    </w:p>
    <w:p w14:paraId="4DC49C7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七、存在的问题及原因分析</w:t>
      </w:r>
    </w:p>
    <w:p w14:paraId="76749CD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存在的问题：支付进度缓慢。</w:t>
      </w:r>
    </w:p>
    <w:p w14:paraId="14BE26F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原因：财政困难，无钱可付。</w:t>
      </w:r>
    </w:p>
    <w:p w14:paraId="6A1277C9"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下一步改进措施</w:t>
      </w:r>
    </w:p>
    <w:p w14:paraId="06C772C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是加强预算监管，强化预算监督。财政所要加强乡镇预算执行情况的日常跟踪监督，乡财管理机构也要建立财政资金分配、使用和管理全过程的监督制约机制，做好财政资金的跟踪问效工作，不断加强财政资金使用的绩效分析，促进财政支出效益的最大化，提高财政资金使用效益。</w:t>
      </w:r>
    </w:p>
    <w:p w14:paraId="1FA0DE2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是凝心聚力发展经济，增加地方财政收入。</w:t>
      </w:r>
    </w:p>
    <w:p w14:paraId="438E283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九、其他需要说明的情况</w:t>
      </w:r>
    </w:p>
    <w:p w14:paraId="13064B1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/>
        </w:rPr>
        <w:t>无</w:t>
      </w:r>
    </w:p>
    <w:p w14:paraId="263A7F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5D830C9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11E6830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73EAA26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71C8D0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6A14B13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FBDD2F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1863689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787021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63D1E3A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7A71BF2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7D7BD90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68BEC9C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4E98957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E98B21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12137D4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1869D7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1A86D3E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58B60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4B9DB7DA">
      <w:p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sectPr>
      <w:pgSz w:w="11906" w:h="16838"/>
      <w:pgMar w:top="1440" w:right="1134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6BBA7D"/>
    <w:multiLevelType w:val="singleLevel"/>
    <w:tmpl w:val="806BBA7D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36510E3"/>
    <w:multiLevelType w:val="singleLevel"/>
    <w:tmpl w:val="836510E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12060B7"/>
    <w:multiLevelType w:val="singleLevel"/>
    <w:tmpl w:val="312060B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5235836"/>
    <w:multiLevelType w:val="singleLevel"/>
    <w:tmpl w:val="7523583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lYzk3MDk0MzVkYmQ0NWI4MjVmYTUxZTE0NzU0NzUifQ=="/>
    <w:docVar w:name="KSO_WPS_MARK_KEY" w:val="2cad2da4-8c74-4208-b950-09c4ddb6f378"/>
  </w:docVars>
  <w:rsids>
    <w:rsidRoot w:val="00000000"/>
    <w:rsid w:val="068F4590"/>
    <w:rsid w:val="0B071D3B"/>
    <w:rsid w:val="1A8011C2"/>
    <w:rsid w:val="1EA33F65"/>
    <w:rsid w:val="1FE846F8"/>
    <w:rsid w:val="2492221D"/>
    <w:rsid w:val="25555909"/>
    <w:rsid w:val="269E5DD8"/>
    <w:rsid w:val="281F2202"/>
    <w:rsid w:val="2AB70C30"/>
    <w:rsid w:val="2EB057CA"/>
    <w:rsid w:val="2F6C5DDD"/>
    <w:rsid w:val="32636C88"/>
    <w:rsid w:val="33A2745A"/>
    <w:rsid w:val="3F77FABF"/>
    <w:rsid w:val="4B72396B"/>
    <w:rsid w:val="4C9B5863"/>
    <w:rsid w:val="6CE62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99"/>
    <w:pPr>
      <w:snapToGrid w:val="0"/>
      <w:spacing w:line="580" w:lineRule="exact"/>
      <w:jc w:val="left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int="eastAsia"/>
      <w:sz w:val="21"/>
      <w:szCs w:val="2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unhideWhenUsed/>
    <w:qFormat/>
    <w:uiPriority w:val="99"/>
    <w:pPr>
      <w:spacing w:after="0"/>
      <w:ind w:firstLine="420" w:firstLineChars="200"/>
    </w:pPr>
    <w:rPr>
      <w:rFonts w:hint="eastAsia"/>
      <w:sz w:val="21"/>
      <w:szCs w:val="24"/>
    </w:rPr>
  </w:style>
  <w:style w:type="paragraph" w:customStyle="1" w:styleId="8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1927</Words>
  <Characters>2030</Characters>
  <Lines>0</Lines>
  <Paragraphs>0</Paragraphs>
  <TotalTime>185</TotalTime>
  <ScaleCrop>false</ScaleCrop>
  <LinksUpToDate>false</LinksUpToDate>
  <CharactersWithSpaces>2054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2021-09-17T15:11:00Z</dcterms:created>
  <dc:creator>Administrator</dc:creator>
  <cp:lastModifiedBy>咸鱼干</cp:lastModifiedBy>
  <cp:lastPrinted>2025-04-14T13:46:00Z</cp:lastPrinted>
  <dcterms:modified xsi:type="dcterms:W3CDTF">2025-10-23T03:23:44Z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925C8A1D43A34707810FF2E1BC666997_13</vt:lpwstr>
  </property>
  <property fmtid="{D5CDD505-2E9C-101B-9397-08002B2CF9AE}" pid="4" name="KSOTemplateDocerSaveRecord">
    <vt:lpwstr>eyJoZGlkIjoiZGNhYWQ0MDlhZGUzMTExYzQzZmIyMDVjNmMwYzhlYTUiLCJ1c2VySWQiOiI0NDY4Nzk3NTQifQ==</vt:lpwstr>
  </property>
</Properties>
</file>