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B873B2"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74BDAB0C"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2F34537A">
      <w:pPr>
        <w:jc w:val="center"/>
        <w:rPr>
          <w:rFonts w:ascii="Times New Roman" w:hAnsi="Times New Roman" w:eastAsia="方正小标宋_GBK" w:cs="Times New Roman"/>
          <w:sz w:val="52"/>
          <w:szCs w:val="52"/>
        </w:rPr>
      </w:pPr>
      <w:r>
        <w:rPr>
          <w:rFonts w:ascii="Times New Roman" w:hAnsi="Times New Roman" w:eastAsia="方正小标宋_GBK" w:cs="Times New Roman"/>
          <w:sz w:val="52"/>
          <w:szCs w:val="52"/>
        </w:rPr>
        <w:t>202</w:t>
      </w:r>
      <w:r>
        <w:rPr>
          <w:rFonts w:hint="eastAsia" w:eastAsia="方正小标宋_GBK" w:cs="Times New Roman"/>
          <w:sz w:val="52"/>
          <w:szCs w:val="52"/>
          <w:lang w:val="en-US" w:eastAsia="zh-CN"/>
        </w:rPr>
        <w:t>4</w:t>
      </w:r>
      <w:r>
        <w:rPr>
          <w:rFonts w:ascii="Times New Roman" w:hAnsi="Times New Roman" w:eastAsia="方正小标宋_GBK" w:cs="Times New Roman"/>
          <w:sz w:val="52"/>
          <w:szCs w:val="52"/>
        </w:rPr>
        <w:t>年度</w:t>
      </w:r>
      <w:r>
        <w:rPr>
          <w:rFonts w:hint="eastAsia" w:eastAsia="方正小标宋_GBK" w:cs="Times New Roman"/>
          <w:sz w:val="52"/>
          <w:szCs w:val="52"/>
          <w:lang w:val="en-US" w:eastAsia="zh-CN"/>
        </w:rPr>
        <w:t>城步苗族自治县蒋坊乡人民政府</w:t>
      </w:r>
      <w:r>
        <w:rPr>
          <w:rFonts w:hint="eastAsia" w:eastAsia="方正小标宋_GBK" w:cs="Times New Roman"/>
          <w:sz w:val="52"/>
          <w:szCs w:val="52"/>
          <w:lang w:eastAsia="zh-CN"/>
        </w:rPr>
        <w:t>部门</w:t>
      </w:r>
      <w:r>
        <w:rPr>
          <w:rFonts w:ascii="Times New Roman" w:hAnsi="Times New Roman" w:eastAsia="方正小标宋_GBK" w:cs="Times New Roman"/>
          <w:sz w:val="52"/>
          <w:szCs w:val="52"/>
        </w:rPr>
        <w:t>整体支出绩效自评报告</w:t>
      </w:r>
    </w:p>
    <w:p w14:paraId="041CC655">
      <w:pPr>
        <w:jc w:val="center"/>
        <w:rPr>
          <w:rFonts w:ascii="Times New Roman" w:hAnsi="Times New Roman" w:eastAsia="方正小标宋_GBK" w:cs="Times New Roman"/>
          <w:b/>
          <w:sz w:val="52"/>
          <w:szCs w:val="52"/>
        </w:rPr>
      </w:pPr>
    </w:p>
    <w:p w14:paraId="3998A6ED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104F5C2C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2B25E719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08952903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478B8F06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2AB5257E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24BDA4B5">
      <w:pPr>
        <w:jc w:val="center"/>
        <w:rPr>
          <w:rFonts w:ascii="Times New Roman" w:hAnsi="Times New Roman" w:eastAsia="黑体" w:cs="Times New Roman"/>
          <w:sz w:val="32"/>
          <w:szCs w:val="32"/>
        </w:rPr>
      </w:pPr>
    </w:p>
    <w:p w14:paraId="3291387B">
      <w:pPr>
        <w:spacing w:line="600" w:lineRule="exact"/>
        <w:ind w:firstLine="2400" w:firstLineChars="600"/>
        <w:jc w:val="both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</w:rPr>
        <w:t>单位名称：城步苗族自治县</w:t>
      </w:r>
    </w:p>
    <w:p w14:paraId="5D80C147">
      <w:pPr>
        <w:spacing w:line="600" w:lineRule="exact"/>
        <w:ind w:firstLine="2400" w:firstLineChars="600"/>
        <w:jc w:val="both"/>
        <w:rPr>
          <w:rFonts w:hint="eastAsia" w:ascii="仿宋" w:hAnsi="仿宋" w:eastAsia="仿宋" w:cs="仿宋"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sz w:val="40"/>
          <w:szCs w:val="40"/>
          <w:lang w:eastAsia="zh-CN"/>
        </w:rPr>
        <w:t>蒋坊乡</w:t>
      </w:r>
      <w:r>
        <w:rPr>
          <w:rFonts w:hint="eastAsia" w:ascii="仿宋" w:hAnsi="仿宋" w:eastAsia="仿宋" w:cs="仿宋"/>
          <w:sz w:val="40"/>
          <w:szCs w:val="40"/>
        </w:rPr>
        <w:t>人</w:t>
      </w:r>
      <w:r>
        <w:rPr>
          <w:rFonts w:hint="eastAsia" w:ascii="仿宋" w:hAnsi="仿宋" w:eastAsia="仿宋" w:cs="仿宋"/>
          <w:sz w:val="40"/>
          <w:szCs w:val="40"/>
          <w:lang w:eastAsia="zh-CN"/>
        </w:rPr>
        <w:t>民</w:t>
      </w:r>
      <w:r>
        <w:rPr>
          <w:rFonts w:hint="eastAsia" w:ascii="仿宋" w:hAnsi="仿宋" w:eastAsia="仿宋" w:cs="仿宋"/>
          <w:sz w:val="40"/>
          <w:szCs w:val="40"/>
        </w:rPr>
        <w:t>政府</w:t>
      </w:r>
    </w:p>
    <w:p w14:paraId="1F84774D">
      <w:pPr>
        <w:spacing w:line="600" w:lineRule="exact"/>
        <w:ind w:firstLine="2800" w:firstLineChars="700"/>
        <w:jc w:val="both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2025</w:t>
      </w:r>
      <w:r>
        <w:rPr>
          <w:rFonts w:hint="eastAsia" w:ascii="仿宋" w:hAnsi="仿宋" w:eastAsia="仿宋" w:cs="仿宋"/>
          <w:sz w:val="40"/>
          <w:szCs w:val="40"/>
        </w:rPr>
        <w:t>年</w:t>
      </w: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 xml:space="preserve"> 4</w:t>
      </w:r>
      <w:r>
        <w:rPr>
          <w:rFonts w:hint="eastAsia" w:ascii="仿宋" w:hAnsi="仿宋" w:eastAsia="仿宋" w:cs="仿宋"/>
          <w:sz w:val="40"/>
          <w:szCs w:val="40"/>
        </w:rPr>
        <w:t>月</w:t>
      </w: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 xml:space="preserve">30 </w:t>
      </w:r>
      <w:r>
        <w:rPr>
          <w:rFonts w:hint="eastAsia" w:ascii="仿宋" w:hAnsi="仿宋" w:eastAsia="仿宋" w:cs="仿宋"/>
          <w:sz w:val="40"/>
          <w:szCs w:val="40"/>
        </w:rPr>
        <w:t>日</w:t>
      </w:r>
    </w:p>
    <w:p w14:paraId="044C1FA5"/>
    <w:p w14:paraId="79D76734"/>
    <w:p w14:paraId="3F5E5F15"/>
    <w:p w14:paraId="03FE71C5"/>
    <w:p w14:paraId="6C0F16DF"/>
    <w:p w14:paraId="44EAB7E5"/>
    <w:p w14:paraId="41E4CC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7CCFB7C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年度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城步苗族自治县蒋坊乡人民政府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部门整体支出绩效自评报告</w:t>
      </w:r>
    </w:p>
    <w:p w14:paraId="676CD0F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6B6CA7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一、部门、单位基本情况</w:t>
      </w:r>
    </w:p>
    <w:p w14:paraId="7768AE9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一）机构、人员构成</w:t>
      </w:r>
    </w:p>
    <w:p w14:paraId="6DC665F4">
      <w:pPr>
        <w:adjustRightInd w:val="0"/>
        <w:snapToGrid w:val="0"/>
        <w:spacing w:line="600" w:lineRule="exact"/>
        <w:ind w:firstLine="600" w:firstLineChars="200"/>
        <w:rPr>
          <w:rFonts w:hint="default" w:ascii="仿宋_GB2312" w:hAnsi="仿宋" w:eastAsia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"/>
          <w:kern w:val="0"/>
          <w:sz w:val="30"/>
          <w:szCs w:val="30"/>
          <w:lang w:eastAsia="zh-CN"/>
        </w:rPr>
        <w:t>蒋坊乡</w:t>
      </w:r>
      <w:r>
        <w:rPr>
          <w:rFonts w:hint="eastAsia" w:ascii="仿宋_GB2312" w:hAnsi="仿宋" w:eastAsia="仿宋_GB2312"/>
          <w:kern w:val="0"/>
          <w:sz w:val="30"/>
          <w:szCs w:val="30"/>
        </w:rPr>
        <w:t>编制人数</w:t>
      </w:r>
      <w:r>
        <w:rPr>
          <w:rFonts w:hint="eastAsia" w:ascii="仿宋_GB2312" w:hAnsi="仿宋"/>
          <w:kern w:val="0"/>
          <w:sz w:val="30"/>
          <w:szCs w:val="30"/>
          <w:lang w:val="en-US" w:eastAsia="zh-CN"/>
        </w:rPr>
        <w:t>67</w:t>
      </w:r>
      <w:r>
        <w:rPr>
          <w:rFonts w:hint="eastAsia" w:ascii="仿宋_GB2312" w:hAnsi="仿宋" w:eastAsia="仿宋_GB2312"/>
          <w:kern w:val="0"/>
          <w:sz w:val="30"/>
          <w:szCs w:val="30"/>
        </w:rPr>
        <w:t>人，实有在职人员</w:t>
      </w:r>
      <w:r>
        <w:rPr>
          <w:rFonts w:hint="eastAsia" w:ascii="仿宋_GB2312" w:hAnsi="仿宋"/>
          <w:kern w:val="0"/>
          <w:sz w:val="30"/>
          <w:szCs w:val="30"/>
          <w:lang w:val="en-US" w:eastAsia="zh-CN"/>
        </w:rPr>
        <w:t>59</w:t>
      </w:r>
      <w:r>
        <w:rPr>
          <w:rFonts w:hint="eastAsia" w:ascii="仿宋_GB2312" w:hAnsi="仿宋" w:eastAsia="仿宋_GB2312"/>
          <w:kern w:val="0"/>
          <w:sz w:val="30"/>
          <w:szCs w:val="30"/>
        </w:rPr>
        <w:t>人，其中行政人员</w:t>
      </w:r>
      <w:r>
        <w:rPr>
          <w:rFonts w:hint="eastAsia" w:ascii="仿宋_GB2312" w:hAnsi="仿宋"/>
          <w:kern w:val="0"/>
          <w:sz w:val="30"/>
          <w:szCs w:val="30"/>
          <w:lang w:val="en-US" w:eastAsia="zh-CN"/>
        </w:rPr>
        <w:t>26</w:t>
      </w:r>
      <w:r>
        <w:rPr>
          <w:rFonts w:hint="eastAsia" w:ascii="仿宋_GB2312" w:hAnsi="仿宋" w:eastAsia="仿宋_GB2312"/>
          <w:kern w:val="0"/>
          <w:sz w:val="30"/>
          <w:szCs w:val="30"/>
        </w:rPr>
        <w:t>人，负责管理行政事务，维护社会稳定，促进乡镇经济发展；财政人员</w:t>
      </w:r>
      <w:r>
        <w:rPr>
          <w:rFonts w:hint="eastAsia" w:ascii="仿宋_GB2312" w:hAnsi="仿宋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/>
          <w:kern w:val="0"/>
          <w:sz w:val="30"/>
          <w:szCs w:val="30"/>
        </w:rPr>
        <w:t>人，负责乡镇财政预算收支管理、财务管理、账乡代管、专项资金监管、涉农补贴发放公示等事务；政务便民服务中心</w:t>
      </w:r>
      <w:r>
        <w:rPr>
          <w:rFonts w:hint="eastAsia" w:ascii="仿宋_GB2312" w:hAnsi="仿宋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/>
          <w:kern w:val="0"/>
          <w:sz w:val="30"/>
          <w:szCs w:val="30"/>
        </w:rPr>
        <w:t>人，负责面向社会个人的政务服务事项和公共服务事项的办理；农业综合站</w:t>
      </w:r>
      <w:r>
        <w:rPr>
          <w:rFonts w:hint="eastAsia" w:ascii="仿宋_GB2312" w:hAnsi="仿宋"/>
          <w:kern w:val="0"/>
          <w:sz w:val="30"/>
          <w:szCs w:val="30"/>
          <w:lang w:val="en-US" w:eastAsia="zh-CN"/>
        </w:rPr>
        <w:t>20</w:t>
      </w:r>
      <w:r>
        <w:rPr>
          <w:rFonts w:hint="eastAsia" w:ascii="仿宋_GB2312" w:hAnsi="仿宋" w:eastAsia="仿宋_GB2312"/>
          <w:kern w:val="0"/>
          <w:sz w:val="30"/>
          <w:szCs w:val="30"/>
        </w:rPr>
        <w:t>人，负责管理镇农林水方面事务；退役军人服务站</w:t>
      </w:r>
      <w:r>
        <w:rPr>
          <w:rFonts w:hint="eastAsia" w:ascii="仿宋_GB2312" w:hAnsi="仿宋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/>
          <w:kern w:val="0"/>
          <w:sz w:val="30"/>
          <w:szCs w:val="30"/>
        </w:rPr>
        <w:t>人，负责宣传贯彻退役军人有关政策法规,保障退役军人合法权益落实；</w:t>
      </w:r>
      <w:r>
        <w:rPr>
          <w:rFonts w:hint="eastAsia" w:ascii="仿宋_GB2312" w:hAnsi="仿宋" w:eastAsia="仿宋_GB2312"/>
          <w:kern w:val="0"/>
          <w:sz w:val="30"/>
          <w:szCs w:val="30"/>
          <w:lang w:eastAsia="zh-CN"/>
        </w:rPr>
        <w:t>综合执法大队</w:t>
      </w:r>
      <w:r>
        <w:rPr>
          <w:rFonts w:hint="eastAsia" w:ascii="仿宋_GB2312" w:hAnsi="仿宋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" w:eastAsia="仿宋_GB2312"/>
          <w:kern w:val="0"/>
          <w:sz w:val="30"/>
          <w:szCs w:val="30"/>
          <w:lang w:val="en-US" w:eastAsia="zh-CN"/>
        </w:rPr>
        <w:t>人，负责分片包村责任到人在辖区范围积极开展违法建筑巡查，实行全面网络化管理，确保每个网格无违法建筑</w:t>
      </w:r>
      <w:r>
        <w:rPr>
          <w:rFonts w:hint="eastAsia" w:ascii="仿宋_GB2312" w:hAnsi="仿宋"/>
          <w:kern w:val="0"/>
          <w:sz w:val="30"/>
          <w:szCs w:val="30"/>
          <w:lang w:val="en-US" w:eastAsia="zh-CN"/>
        </w:rPr>
        <w:t>。</w:t>
      </w:r>
    </w:p>
    <w:p w14:paraId="29A86274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微软雅黑" w:eastAsia="仿宋_GB2312"/>
          <w:color w:val="333333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</w:rPr>
        <w:t>单位主要职责</w:t>
      </w:r>
    </w:p>
    <w:p w14:paraId="6D5F058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Times New Roman"/>
          <w:color w:val="333333"/>
          <w:sz w:val="32"/>
          <w:szCs w:val="32"/>
          <w:lang w:eastAsia="zh-CN"/>
        </w:rPr>
        <w:t>我</w:t>
      </w:r>
      <w:r>
        <w:rPr>
          <w:rFonts w:hint="eastAsia" w:ascii="仿宋_GB2312" w:hAnsi="微软雅黑" w:cs="Times New Roman"/>
          <w:color w:val="333333"/>
          <w:sz w:val="32"/>
          <w:szCs w:val="32"/>
          <w:lang w:val="en-US" w:eastAsia="zh-CN"/>
        </w:rPr>
        <w:t>乡</w:t>
      </w:r>
      <w:r>
        <w:rPr>
          <w:rFonts w:hint="eastAsia" w:ascii="仿宋_GB2312" w:hAnsi="微软雅黑" w:eastAsia="仿宋_GB2312" w:cs="Times New Roman"/>
          <w:color w:val="333333"/>
          <w:sz w:val="32"/>
          <w:szCs w:val="32"/>
          <w:lang w:eastAsia="zh-CN"/>
        </w:rPr>
        <w:t>主要职能是落实国家政策，严格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依法行政</w:t>
      </w:r>
      <w:r>
        <w:rPr>
          <w:rFonts w:hint="eastAsia" w:ascii="仿宋_GB2312" w:hAnsi="微软雅黑"/>
          <w:color w:val="333333"/>
          <w:sz w:val="32"/>
          <w:szCs w:val="32"/>
          <w:lang w:eastAsia="zh-CN"/>
        </w:rPr>
        <w:t>，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发展乡村经济、文化和社会事业、提供公共服务，维护社会稳定，</w:t>
      </w:r>
      <w:r>
        <w:rPr>
          <w:rFonts w:hint="eastAsia" w:ascii="仿宋_GB2312" w:hAnsi="微软雅黑"/>
          <w:color w:val="333333"/>
          <w:sz w:val="32"/>
          <w:szCs w:val="32"/>
          <w:lang w:eastAsia="zh-CN"/>
        </w:rPr>
        <w:t>管理和</w:t>
      </w:r>
    </w:p>
    <w:p w14:paraId="094B294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服务所辖农村、居委会和社区，概括起来主要有六个方面：村（居）社区的社会稳定。如普法教育、刑事案件的预防、民事纠纷的调解、群体性事件的控制和处理、群众上访、防火防盗、反邪教等。</w:t>
      </w:r>
    </w:p>
    <w:p w14:paraId="7C68FB70">
      <w:pPr>
        <w:pStyle w:val="8"/>
        <w:shd w:val="clear" w:color="auto" w:fill="FFFFFF"/>
        <w:spacing w:before="0" w:beforeAutospacing="0" w:after="0" w:afterAutospacing="0" w:line="360" w:lineRule="auto"/>
        <w:ind w:firstLine="720" w:firstLineChars="22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农村经济发展。如农民收入的增加、财政收入的增长、农村闲置劳动力的转移、招商引资、工业增加值的增长速度、农产品加工转化率、农民收入抽样调查等。</w:t>
      </w:r>
    </w:p>
    <w:p w14:paraId="50AFF461">
      <w:pPr>
        <w:pStyle w:val="8"/>
        <w:shd w:val="clear" w:color="auto" w:fill="FFFFFF"/>
        <w:spacing w:before="0" w:beforeAutospacing="0" w:after="0" w:afterAutospacing="0" w:line="360" w:lineRule="auto"/>
        <w:ind w:firstLine="720" w:firstLineChars="22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统筹村（居）社区社会的协调发展。主要有村（居）社区义务教育落实，新型合作医疗实施、人口和计划生育工作开展、困难群众和受灾群众的生产生活救灾救济、低收入家庭生活保障、现役军人补助、烈军属伤残军人优抚、敬老院管理等。</w:t>
      </w:r>
    </w:p>
    <w:p w14:paraId="6D1D9F22">
      <w:pPr>
        <w:pStyle w:val="8"/>
        <w:shd w:val="clear" w:color="auto" w:fill="FFFFFF"/>
        <w:spacing w:before="0" w:beforeAutospacing="0" w:after="0" w:afterAutospacing="0" w:line="360" w:lineRule="auto"/>
        <w:ind w:firstLine="720" w:firstLineChars="22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社会主义新农村建设。主要有农田水利基础设施建设、乡村道路“村村通”工程建设和养护、村庄规划整治、沼气池等新能源建设、人畜安全饮水、改水改厕、防汛抗旱、森林防火、农民种粮补贴、集镇建设和管理、农村垃圾的处理、农林作物和畜禽病虫害防治等。</w:t>
      </w:r>
    </w:p>
    <w:p w14:paraId="5FD74F76">
      <w:pPr>
        <w:pStyle w:val="8"/>
        <w:shd w:val="clear" w:color="auto" w:fill="FFFFFF"/>
        <w:spacing w:before="0" w:beforeAutospacing="0" w:after="0" w:afterAutospacing="0" w:line="360" w:lineRule="auto"/>
        <w:ind w:firstLine="720" w:firstLineChars="22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村（居）社区党的建设。主要有基层党组织建设和党员队伍管理、村（居）社区民主政治推进、政务公开和村务公开、指导好村（居）民委员会工作、民兵训练、征兵等国防建设、党报党刊发行、农村精神文明建设等。</w:t>
      </w:r>
    </w:p>
    <w:p w14:paraId="65E77E80">
      <w:pPr>
        <w:pStyle w:val="8"/>
        <w:shd w:val="clear" w:color="auto" w:fill="FFFFFF"/>
        <w:spacing w:before="0" w:beforeAutospacing="0" w:after="0" w:afterAutospacing="0" w:line="360" w:lineRule="auto"/>
        <w:ind w:firstLine="720" w:firstLineChars="225"/>
        <w:rPr>
          <w:rFonts w:ascii="微软雅黑" w:hAnsi="微软雅黑" w:eastAsia="微软雅黑"/>
          <w:color w:val="333333"/>
          <w:sz w:val="21"/>
          <w:szCs w:val="21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</w:rPr>
        <w:t>其它工作：主要指阶段性工作，如县、镇党委政府、村（居）社区两委的换届、人畜重大传染性疾病的预防和控制、人口普查、农业普查、林权制度改革等。</w:t>
      </w:r>
    </w:p>
    <w:p w14:paraId="01FABAE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170509D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3C44A6E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5F6112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2F143A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二、部门整体支出管理及使用情况</w:t>
      </w:r>
    </w:p>
    <w:p w14:paraId="780C3160">
      <w:pPr>
        <w:pStyle w:val="9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 w14:paraId="0F5DEDD4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 w14:paraId="23702A1A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年年初预算安排收入</w:t>
      </w:r>
      <w:r>
        <w:rPr>
          <w:rFonts w:hint="eastAsia" w:cs="Times New Roman"/>
          <w:sz w:val="32"/>
          <w:szCs w:val="32"/>
          <w:lang w:val="en-US" w:eastAsia="zh-CN"/>
        </w:rPr>
        <w:t>767.87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cs="Times New Roman"/>
          <w:sz w:val="32"/>
          <w:szCs w:val="32"/>
          <w:lang w:val="en-US" w:eastAsia="zh-CN"/>
        </w:rPr>
        <w:t>767.87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年年初预算安排支出</w:t>
      </w:r>
      <w:r>
        <w:rPr>
          <w:rFonts w:hint="eastAsia" w:cs="Times New Roman"/>
          <w:sz w:val="32"/>
          <w:szCs w:val="32"/>
          <w:lang w:val="en-US" w:eastAsia="zh-CN"/>
        </w:rPr>
        <w:t>767.87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，其中：基本支出</w:t>
      </w:r>
      <w:r>
        <w:rPr>
          <w:rFonts w:hint="eastAsia" w:cs="Times New Roman"/>
          <w:sz w:val="32"/>
          <w:szCs w:val="32"/>
          <w:lang w:val="en-US" w:eastAsia="zh-CN"/>
        </w:rPr>
        <w:t>746.04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cs="Times New Roman"/>
          <w:sz w:val="32"/>
          <w:szCs w:val="32"/>
          <w:lang w:val="en-US" w:eastAsia="zh-CN"/>
        </w:rPr>
        <w:t>21.83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4C024123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 w14:paraId="71DBF72B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cs="Times New Roman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年决算总收入</w:t>
      </w:r>
      <w:r>
        <w:rPr>
          <w:rFonts w:hint="eastAsia" w:cs="Times New Roman"/>
          <w:sz w:val="32"/>
          <w:szCs w:val="32"/>
          <w:lang w:val="en-US" w:eastAsia="zh-CN"/>
        </w:rPr>
        <w:t>1659.11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cs="Times New Roman"/>
          <w:sz w:val="32"/>
          <w:szCs w:val="32"/>
          <w:lang w:val="en-US" w:eastAsia="zh-CN"/>
        </w:rPr>
        <w:t>891.24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cs="Times New Roman"/>
          <w:sz w:val="32"/>
          <w:szCs w:val="32"/>
          <w:lang w:val="en-US" w:eastAsia="zh-CN"/>
        </w:rPr>
        <w:t>1659.11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cs="Times New Roman"/>
          <w:sz w:val="32"/>
          <w:szCs w:val="32"/>
          <w:lang w:val="en-US" w:eastAsia="zh-CN"/>
        </w:rPr>
        <w:t>1657.93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cs="Times New Roman"/>
          <w:sz w:val="32"/>
          <w:szCs w:val="32"/>
          <w:lang w:val="en-US" w:eastAsia="zh-CN"/>
        </w:rPr>
        <w:t>99.94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cs="Times New Roman"/>
          <w:sz w:val="32"/>
          <w:szCs w:val="32"/>
          <w:lang w:val="en-US" w:eastAsia="zh-CN"/>
        </w:rPr>
        <w:t>1.18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cs="Times New Roman"/>
          <w:sz w:val="32"/>
          <w:szCs w:val="32"/>
          <w:lang w:val="en-US" w:eastAsia="zh-CN"/>
        </w:rPr>
        <w:t>0.06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％。差异产生的主要原因是</w:t>
      </w:r>
      <w:r>
        <w:rPr>
          <w:rFonts w:hint="eastAsia" w:cs="Times New Roman"/>
          <w:sz w:val="32"/>
          <w:szCs w:val="32"/>
          <w:lang w:val="en-US" w:eastAsia="zh-CN"/>
        </w:rPr>
        <w:t>村里基本支出增加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0A2994D2"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 w14:paraId="25B71084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 w14:paraId="3406200E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cs="Times New Roman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cs="Times New Roman"/>
          <w:sz w:val="32"/>
          <w:szCs w:val="32"/>
          <w:lang w:val="en-US" w:eastAsia="zh-CN"/>
        </w:rPr>
        <w:t>4.75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cs="Times New Roman"/>
          <w:sz w:val="32"/>
          <w:szCs w:val="32"/>
          <w:lang w:val="en-US" w:eastAsia="zh-CN"/>
        </w:rPr>
        <w:t>3.325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cs="Times New Roman"/>
          <w:sz w:val="32"/>
          <w:szCs w:val="32"/>
          <w:lang w:val="en-US" w:eastAsia="zh-CN"/>
        </w:rPr>
        <w:t>1.425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cs="Times New Roman"/>
          <w:sz w:val="32"/>
          <w:szCs w:val="32"/>
          <w:lang w:val="en-US" w:eastAsia="zh-CN"/>
        </w:rPr>
        <w:t>2.79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cs="Times New Roman"/>
          <w:sz w:val="32"/>
          <w:szCs w:val="32"/>
          <w:lang w:val="en-US" w:eastAsia="zh-CN"/>
        </w:rPr>
        <w:t>2.79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556737F1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 w14:paraId="52C3CCFC"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cs="Times New Roman"/>
          <w:sz w:val="32"/>
          <w:szCs w:val="32"/>
          <w:lang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年度政府采购支出</w:t>
      </w:r>
      <w:r>
        <w:rPr>
          <w:rFonts w:hint="eastAsia" w:cs="Times New Roman"/>
          <w:sz w:val="32"/>
          <w:szCs w:val="32"/>
          <w:lang w:val="en-US" w:eastAsia="zh-CN"/>
        </w:rPr>
        <w:t>102.458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cs="Times New Roman"/>
          <w:sz w:val="32"/>
          <w:szCs w:val="32"/>
          <w:lang w:val="en-US" w:eastAsia="zh-CN"/>
        </w:rPr>
        <w:t>102.458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 w14:paraId="13FCE0BE"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3630932D"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497CE127"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07998E17"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政府性基金预算支出情况</w:t>
      </w:r>
    </w:p>
    <w:p w14:paraId="6554B3FD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default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 w:bidi="ar-SA"/>
        </w:rPr>
        <w:t>2024 年度政府性基金预算财政拨款收入 97.38 万元；年初结转和结余 0.00 万元；支出 97.38 万元，其中:基本支出 97.38 万元，项目支出 0.00 万元；年末结转和结余 0.00 万元。</w:t>
      </w:r>
    </w:p>
    <w:p w14:paraId="431A3E2D"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国有资本经营预算支出情况</w:t>
      </w:r>
    </w:p>
    <w:p w14:paraId="62678ED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 w:bidi="ar-SA"/>
        </w:rPr>
        <w:t>本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预算单位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 w:bidi="ar-SA"/>
        </w:rPr>
        <w:t>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国有资本经营的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 w:bidi="ar-SA"/>
        </w:rPr>
        <w:t>资金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使用情况</w:t>
      </w:r>
    </w:p>
    <w:p w14:paraId="5331B0B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五、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社会保险基金预算支出情况</w:t>
      </w:r>
    </w:p>
    <w:p w14:paraId="23E0C0E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 w:bidi="ar-SA"/>
        </w:rPr>
        <w:t>本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预算单位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 w:bidi="ar-SA"/>
        </w:rPr>
        <w:t>无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社会保险基金的</w:t>
      </w:r>
      <w:r>
        <w:rPr>
          <w:rFonts w:hint="eastAsia" w:ascii="Times New Roman" w:hAnsi="Times New Roman" w:cs="Times New Roman"/>
          <w:color w:val="auto"/>
          <w:kern w:val="0"/>
          <w:sz w:val="32"/>
          <w:szCs w:val="32"/>
          <w:lang w:val="en-US" w:eastAsia="zh-CN" w:bidi="ar-SA"/>
        </w:rPr>
        <w:t>资金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-SA"/>
        </w:rPr>
        <w:t>使用情况</w:t>
      </w:r>
    </w:p>
    <w:p w14:paraId="0FCBD5B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六、部门整体支出绩效情况</w:t>
      </w:r>
    </w:p>
    <w:p w14:paraId="36C179D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一、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综合评价结论。</w:t>
      </w:r>
    </w:p>
    <w:p w14:paraId="20D7A2A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4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2024 年度本部门整体支出全年预算数767.87万元，执行767.87 万元，完成预算的100%，绩效自评得分98分，评价等级为“优”。</w:t>
      </w:r>
    </w:p>
    <w:p w14:paraId="69D04EC7">
      <w:pPr>
        <w:adjustRightInd w:val="0"/>
        <w:snapToGrid w:val="0"/>
        <w:spacing w:line="600" w:lineRule="exact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二、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评价指标分析</w:t>
      </w:r>
    </w:p>
    <w:p w14:paraId="1177DF87"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一）年初制订的绩效工作目标到年底实际已全部完成，且按时按质完成。制定工作目标时要按照切实可行的原则，要细化分解工作任务，与工作计划与资金相匹配；推进绩效工资过程中要遵守规定，有效使用资金，按时按序进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54542D67"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hint="eastAsia" w:eastAsia="仿宋_GB2312"/>
          <w:b/>
          <w:sz w:val="32"/>
          <w:szCs w:val="32"/>
        </w:rPr>
        <w:t>（二）反映履职效益情况。</w:t>
      </w:r>
    </w:p>
    <w:p w14:paraId="7A578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强化稳岗就业帮扶力度，发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展就业帮扶车间4家，带动脱贫劳动力就业56人，发放物流补贴、岗位补贴、就业创业奖补、以工代训补贴、转移就业交通补贴等各类补贴共计20余万元；设置护林员、保洁员、光伏公益性岗位、院落环境管护员等公益性岗位144个，强化公益性岗位支持。大力推进联农带农完善产业帮扶机制，进一步落实蒋坊延季蔬菜、铺头吴茱萸、柳林稻花鱼、大同猕猴桃、太和水产养殖等5个产业委托帮扶协议，强化企业与农户利益链接，促进农户持续增收。着力抓好消费帮扶，积极联系、对接机关企事业单位，按照程序购置农产品约30万元，组建消费帮扶联盟，建立长效协作机制，帮助提升村民收入。</w:t>
      </w:r>
    </w:p>
    <w:p w14:paraId="79E469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七、存在的问题及原因分析</w:t>
      </w:r>
    </w:p>
    <w:p w14:paraId="07257A9C">
      <w:pPr>
        <w:autoSpaceDE w:val="0"/>
        <w:autoSpaceDN w:val="0"/>
        <w:adjustRightInd w:val="0"/>
        <w:spacing w:line="360" w:lineRule="auto"/>
        <w:ind w:firstLine="643"/>
        <w:rPr>
          <w:rFonts w:ascii="仿宋_GB2312" w:eastAsia="仿宋_GB2312"/>
          <w:sz w:val="32"/>
          <w:szCs w:val="24"/>
        </w:rPr>
      </w:pPr>
      <w:r>
        <w:rPr>
          <w:rFonts w:hint="eastAsia" w:ascii="仿宋_GB2312" w:eastAsia="仿宋_GB2312"/>
          <w:sz w:val="32"/>
          <w:szCs w:val="24"/>
        </w:rPr>
        <w:t>存在的主要问题：我县年初预算主要是对单位人员经费以及公用经费进行预算，并加上常规项目经费，预算资金有限，无法及时对相关项目资金进行预算，导致财政决算数据与年初预算数据差额大。</w:t>
      </w:r>
    </w:p>
    <w:p w14:paraId="32B53E6E">
      <w:pPr>
        <w:autoSpaceDE w:val="0"/>
        <w:autoSpaceDN w:val="0"/>
        <w:adjustRightInd w:val="0"/>
        <w:spacing w:line="360" w:lineRule="auto"/>
        <w:ind w:firstLine="643"/>
        <w:rPr>
          <w:rFonts w:ascii="仿宋_GB2312" w:eastAsia="仿宋_GB2312"/>
          <w:sz w:val="32"/>
          <w:szCs w:val="24"/>
        </w:rPr>
      </w:pPr>
      <w:r>
        <w:rPr>
          <w:rFonts w:hint="eastAsia" w:ascii="仿宋_GB2312" w:eastAsia="仿宋_GB2312"/>
          <w:sz w:val="32"/>
          <w:szCs w:val="24"/>
        </w:rPr>
        <w:t>原因：我县主要经济来源是上级转移支付，相关项目资金需要上级拨付下来，我县才能进行相关的配套预算，项目资金需求随着财政人动态更新的开展，变动大，导致预算数据无法估计准确。</w:t>
      </w:r>
    </w:p>
    <w:p w14:paraId="78AFA17A">
      <w:pPr>
        <w:snapToGrid w:val="0"/>
        <w:spacing w:line="360" w:lineRule="auto"/>
        <w:ind w:firstLine="640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24"/>
        </w:rPr>
        <w:t>改进措施：提高预算精准度，对县一级预算方式进行改革。</w:t>
      </w:r>
    </w:p>
    <w:p w14:paraId="7B99DF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八、下一步改进措施</w:t>
      </w:r>
    </w:p>
    <w:p w14:paraId="13EC3163">
      <w:pPr>
        <w:adjustRightInd w:val="0"/>
        <w:snapToGrid w:val="0"/>
        <w:spacing w:line="6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" w:eastAsia="仿宋_GB2312"/>
          <w:kern w:val="0"/>
          <w:sz w:val="30"/>
          <w:szCs w:val="30"/>
        </w:rPr>
        <w:t>（一）提高行政、事业人员公务费的标准，确保行政机构能正常运转。（二）</w:t>
      </w:r>
      <w:r>
        <w:rPr>
          <w:rFonts w:ascii="仿宋_GB2312" w:hAnsi="仿宋" w:eastAsia="仿宋_GB2312"/>
          <w:kern w:val="0"/>
          <w:sz w:val="30"/>
          <w:szCs w:val="30"/>
        </w:rPr>
        <w:t>严格遵守支出审批制度。按照“量力而行、量入为出”的原则，合理安排经费</w:t>
      </w:r>
      <w:r>
        <w:rPr>
          <w:rFonts w:hint="eastAsia" w:ascii="仿宋_GB2312" w:hAnsi="仿宋" w:eastAsia="仿宋_GB2312"/>
          <w:kern w:val="0"/>
          <w:sz w:val="30"/>
          <w:szCs w:val="30"/>
        </w:rPr>
        <w:t>。（三）按照财政支出绩效管理的要求，减少行政成本，有效提高财政资金使用管理的水平和效率。加强对应收应付账款的清理，及时冲减应收应付。（四）严格执行预算管理制度，细化预算编制工作，认真做</w:t>
      </w:r>
      <w:r>
        <w:rPr>
          <w:rFonts w:hint="eastAsia" w:ascii="仿宋_GB2312" w:eastAsia="仿宋_GB2312"/>
          <w:sz w:val="30"/>
          <w:szCs w:val="30"/>
        </w:rPr>
        <w:t>好预算的编制。进一步加强内部机构的预算管理意识，严格按照预算编制的相关制度和要求，本着“勤俭节约、保障运转”的原则，进行预算的编制；编制范围尽可能的全面，不漏项，进一步提高预算编制的科学性、合理性、严谨性和可控性。（五）本单位对预算和决算公开工作、及主管部门对所属单位按规定批复决算的各项工作按规定认真执行，该填制及时填制，该公开及时公开，该上报及时上报。（六）加强财务人员的培训，提高财务人员理论知识，提升财务人员业务素质。</w:t>
      </w:r>
    </w:p>
    <w:p w14:paraId="0498F67B">
      <w:pPr>
        <w:adjustRightInd w:val="0"/>
        <w:snapToGrid w:val="0"/>
        <w:spacing w:line="6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 w14:paraId="2E33BD35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部门整体支出绩效自评结果拟应用和公开情况</w:t>
      </w:r>
    </w:p>
    <w:p w14:paraId="2664BD44">
      <w:pPr>
        <w:widowControl/>
        <w:shd w:val="clear" w:color="auto" w:fill="FFFFFF"/>
        <w:wordWrap w:val="0"/>
        <w:ind w:firstLine="640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我</w:t>
      </w:r>
      <w:r>
        <w:rPr>
          <w:rFonts w:hint="eastAsia" w:ascii="仿宋_GB2312" w:hAnsi="仿宋" w:cs="仿宋"/>
          <w:sz w:val="32"/>
          <w:szCs w:val="32"/>
          <w:shd w:val="clear" w:color="auto" w:fill="FFFFFF"/>
          <w:lang w:val="en-US" w:eastAsia="zh-CN"/>
        </w:rPr>
        <w:t>乡</w:t>
      </w: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</w:rPr>
        <w:t>认真贯彻落实县委县政府决策部署，迎难而上、主动作为，扎实推进各项工作，全镇经济工作实现稳中向好。根据《部门整体支出绩效评价指标》评分，得分98分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  <w:r>
        <w:rPr>
          <w:rFonts w:hint="eastAsia" w:ascii="仿宋_GB2312" w:hAnsi="仿宋" w:cs="仿宋"/>
          <w:sz w:val="32"/>
          <w:szCs w:val="32"/>
          <w:lang w:eastAsia="zh-CN"/>
        </w:rPr>
        <w:t>自评结果根据流程要求交由绩效法规股考核后对外公开。</w:t>
      </w:r>
    </w:p>
    <w:p w14:paraId="6F50DAAE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5" w:firstLineChars="0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其他需要说明的情况</w:t>
      </w:r>
    </w:p>
    <w:p w14:paraId="44E52CA8">
      <w:pPr>
        <w:widowControl/>
        <w:shd w:val="clear" w:color="auto" w:fill="FFFFFF"/>
        <w:wordWrap w:val="0"/>
        <w:ind w:firstLine="640"/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shd w:val="clear" w:color="auto" w:fill="FFFFFF"/>
          <w:lang w:eastAsia="zh-CN"/>
        </w:rPr>
        <w:t>无</w:t>
      </w:r>
    </w:p>
    <w:p w14:paraId="76B2DC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</w:pPr>
    </w:p>
    <w:p w14:paraId="25A3BF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</w:pPr>
    </w:p>
    <w:p w14:paraId="453E76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default" w:ascii="Times New Roman" w:hAnsi="Times New Roman" w:eastAsia="仿宋" w:cs="Times New Roman"/>
          <w:color w:val="000000"/>
          <w:sz w:val="32"/>
          <w:szCs w:val="32"/>
          <w:lang w:val="en-US" w:eastAsia="zh-CN"/>
        </w:rPr>
      </w:pPr>
    </w:p>
    <w:p w14:paraId="230DA6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0DB2B3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30F658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722DD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2A7115C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67DC197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501D6A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50F9E7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2D5116E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A0C297B">
      <w:p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557108F4">
      <w:pPr>
        <w:jc w:val="left"/>
        <w:rPr>
          <w:rFonts w:ascii="仿宋" w:hAnsi="仿宋" w:eastAsia="仿宋" w:cs="仿宋"/>
          <w:b/>
          <w:bCs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134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2060B7"/>
    <w:multiLevelType w:val="singleLevel"/>
    <w:tmpl w:val="312060B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500F1EE"/>
    <w:multiLevelType w:val="singleLevel"/>
    <w:tmpl w:val="3500F1E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2728348"/>
    <w:multiLevelType w:val="singleLevel"/>
    <w:tmpl w:val="62728348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RlYzk3MDk0MzVkYmQ0NWI4MjVmYTUxZTE0NzU0NzUifQ=="/>
    <w:docVar w:name="KSO_WPS_MARK_KEY" w:val="2cad2da4-8c74-4208-b950-09c4ddb6f378"/>
  </w:docVars>
  <w:rsids>
    <w:rsidRoot w:val="003153E3"/>
    <w:rsid w:val="00097590"/>
    <w:rsid w:val="003153E3"/>
    <w:rsid w:val="004754C9"/>
    <w:rsid w:val="004A6D69"/>
    <w:rsid w:val="006830AB"/>
    <w:rsid w:val="006C4121"/>
    <w:rsid w:val="00825CDF"/>
    <w:rsid w:val="00890E96"/>
    <w:rsid w:val="008A4B85"/>
    <w:rsid w:val="0098675F"/>
    <w:rsid w:val="00A4104A"/>
    <w:rsid w:val="00B11667"/>
    <w:rsid w:val="00B21C5F"/>
    <w:rsid w:val="00B959EC"/>
    <w:rsid w:val="00BA0B75"/>
    <w:rsid w:val="00D104BC"/>
    <w:rsid w:val="00D55ECA"/>
    <w:rsid w:val="00D92FCE"/>
    <w:rsid w:val="00DB55DF"/>
    <w:rsid w:val="00DE6614"/>
    <w:rsid w:val="00E557A4"/>
    <w:rsid w:val="00F03061"/>
    <w:rsid w:val="00F52E30"/>
    <w:rsid w:val="023E6DD0"/>
    <w:rsid w:val="1EA33F65"/>
    <w:rsid w:val="269E5DD8"/>
    <w:rsid w:val="32636C88"/>
    <w:rsid w:val="4AF32472"/>
    <w:rsid w:val="4B72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locked/>
    <w:uiPriority w:val="99"/>
    <w:rPr>
      <w:rFonts w:cs="Times New Roman"/>
      <w:b/>
    </w:rPr>
  </w:style>
  <w:style w:type="paragraph" w:customStyle="1" w:styleId="7">
    <w:name w:val="List Paragraph1"/>
    <w:basedOn w:val="1"/>
    <w:uiPriority w:val="99"/>
    <w:pPr>
      <w:ind w:firstLine="420" w:firstLineChars="200"/>
    </w:pPr>
    <w:rPr>
      <w:szCs w:val="24"/>
    </w:rPr>
  </w:style>
  <w:style w:type="paragraph" w:customStyle="1" w:styleId="8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2021-09-17T07:11:00Z</dcterms:created>
  <dc:creator>Administrator</dc:creator>
  <cp:lastModifiedBy>敏砣</cp:lastModifiedBy>
  <cp:lastPrinted>2025-04-15T02:51:00Z</cp:lastPrinted>
  <dcterms:modified xsi:type="dcterms:W3CDTF">2025-10-22T03:14:20Z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D1BA0F076F3F45F5A4EC113A94463AE6_12</vt:lpwstr>
  </property>
  <property fmtid="{D5CDD505-2E9C-101B-9397-08002B2CF9AE}" pid="4" name="KSOTemplateDocerSaveRecord">
    <vt:lpwstr>eyJoZGlkIjoiYjAyZGRiMTliYTZhNDhmMmJmMDQ0MDA5MjIwYzdlODkiLCJ1c2VySWQiOiIzNjQwNTA1MjcifQ==</vt:lpwstr>
  </property>
</Properties>
</file>