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C78802">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方正小标宋简体" w:hAnsi="方正小标宋简体" w:eastAsia="方正小标宋简体" w:cs="方正小标宋简体"/>
          <w:b w:val="0"/>
          <w:bCs w:val="0"/>
          <w:color w:val="FF0000"/>
          <w:sz w:val="44"/>
          <w:szCs w:val="44"/>
        </w:rPr>
      </w:pPr>
      <w:r>
        <w:rPr>
          <w:rFonts w:hint="eastAsia" w:ascii="方正小标宋简体" w:hAnsi="方正小标宋简体" w:eastAsia="方正小标宋简体" w:cs="方正小标宋简体"/>
          <w:b w:val="0"/>
          <w:bCs w:val="0"/>
          <w:color w:val="auto"/>
          <w:sz w:val="44"/>
          <w:szCs w:val="44"/>
          <w:shd w:val="clear" w:fill="FFFFFF"/>
          <w:lang w:val="en-US" w:eastAsia="zh-CN"/>
        </w:rPr>
        <w:t>城步苗族自治</w:t>
      </w:r>
      <w:r>
        <w:rPr>
          <w:rFonts w:hint="eastAsia" w:ascii="方正小标宋简体" w:hAnsi="方正小标宋简体" w:eastAsia="方正小标宋简体" w:cs="方正小标宋简体"/>
          <w:b w:val="0"/>
          <w:bCs w:val="0"/>
          <w:color w:val="auto"/>
          <w:sz w:val="44"/>
          <w:szCs w:val="44"/>
          <w:shd w:val="clear" w:fill="FFFFFF"/>
        </w:rPr>
        <w:t>县交通运输局政务公开事项清单</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422"/>
        <w:gridCol w:w="950"/>
        <w:gridCol w:w="1876"/>
        <w:gridCol w:w="1814"/>
        <w:gridCol w:w="1894"/>
        <w:gridCol w:w="1904"/>
        <w:gridCol w:w="1938"/>
        <w:gridCol w:w="810"/>
        <w:gridCol w:w="860"/>
        <w:gridCol w:w="702"/>
        <w:gridCol w:w="818"/>
      </w:tblGrid>
      <w:tr w14:paraId="4FEB5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20" w:hRule="atLeast"/>
          <w:jc w:val="center"/>
        </w:trPr>
        <w:tc>
          <w:tcPr>
            <w:tcW w:w="422"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0787098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ascii="方正小标宋简体" w:hAnsi="方正小标宋简体" w:eastAsia="方正小标宋简体" w:cs="方正小标宋简体"/>
                <w:i w:val="0"/>
                <w:iCs w:val="0"/>
                <w:caps w:val="0"/>
                <w:color w:val="auto"/>
                <w:spacing w:val="0"/>
                <w:kern w:val="0"/>
                <w:sz w:val="22"/>
                <w:szCs w:val="22"/>
                <w:u w:val="none"/>
                <w:vertAlign w:val="baseline"/>
                <w:lang w:val="en-US" w:eastAsia="zh-CN" w:bidi="ar"/>
              </w:rPr>
              <w:t>序号</w:t>
            </w:r>
          </w:p>
        </w:tc>
        <w:tc>
          <w:tcPr>
            <w:tcW w:w="2826" w:type="dxa"/>
            <w:gridSpan w:val="2"/>
            <w:tcBorders>
              <w:top w:val="single" w:color="auto" w:sz="8" w:space="0"/>
              <w:left w:val="nil"/>
              <w:bottom w:val="single" w:color="auto" w:sz="8" w:space="0"/>
              <w:right w:val="single" w:color="auto" w:sz="8" w:space="0"/>
            </w:tcBorders>
            <w:shd w:val="clear" w:color="auto" w:fill="FFFFFF"/>
            <w:vAlign w:val="center"/>
          </w:tcPr>
          <w:p w14:paraId="1FDE91A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right="0"/>
              <w:jc w:val="center"/>
              <w:textAlignment w:val="center"/>
              <w:rPr>
                <w:i w:val="0"/>
                <w:iCs w:val="0"/>
                <w:color w:val="auto"/>
                <w:u w:val="none"/>
              </w:rPr>
            </w:pPr>
            <w:r>
              <w:rPr>
                <w:rFonts w:hint="eastAsia" w:ascii="方正小标宋简体" w:hAnsi="方正小标宋简体" w:eastAsia="方正小标宋简体" w:cs="方正小标宋简体"/>
                <w:i w:val="0"/>
                <w:iCs w:val="0"/>
                <w:caps w:val="0"/>
                <w:color w:val="auto"/>
                <w:spacing w:val="0"/>
                <w:kern w:val="0"/>
                <w:sz w:val="22"/>
                <w:szCs w:val="22"/>
                <w:u w:val="none"/>
                <w:vertAlign w:val="baseline"/>
                <w:lang w:val="en-US" w:eastAsia="zh-CN" w:bidi="ar"/>
              </w:rPr>
              <w:t>公开事项</w:t>
            </w:r>
          </w:p>
        </w:tc>
        <w:tc>
          <w:tcPr>
            <w:tcW w:w="1814" w:type="dxa"/>
            <w:vMerge w:val="restart"/>
            <w:tcBorders>
              <w:top w:val="single" w:color="auto" w:sz="8" w:space="0"/>
              <w:left w:val="nil"/>
              <w:bottom w:val="single" w:color="auto" w:sz="8" w:space="0"/>
              <w:right w:val="single" w:color="auto" w:sz="8" w:space="0"/>
            </w:tcBorders>
            <w:shd w:val="clear" w:color="auto" w:fill="FFFFFF"/>
            <w:vAlign w:val="center"/>
          </w:tcPr>
          <w:p w14:paraId="2EE486A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方正小标宋简体" w:hAnsi="方正小标宋简体" w:eastAsia="方正小标宋简体" w:cs="方正小标宋简体"/>
                <w:i w:val="0"/>
                <w:iCs w:val="0"/>
                <w:caps w:val="0"/>
                <w:color w:val="auto"/>
                <w:spacing w:val="0"/>
                <w:kern w:val="0"/>
                <w:sz w:val="22"/>
                <w:szCs w:val="22"/>
                <w:u w:val="none"/>
                <w:vertAlign w:val="baseline"/>
                <w:lang w:val="en-US" w:eastAsia="zh-CN" w:bidi="ar"/>
              </w:rPr>
              <w:t>公开内容</w:t>
            </w:r>
          </w:p>
        </w:tc>
        <w:tc>
          <w:tcPr>
            <w:tcW w:w="1894" w:type="dxa"/>
            <w:vMerge w:val="restart"/>
            <w:tcBorders>
              <w:top w:val="single" w:color="auto" w:sz="8" w:space="0"/>
              <w:left w:val="nil"/>
              <w:bottom w:val="single" w:color="auto" w:sz="8" w:space="0"/>
              <w:right w:val="single" w:color="auto" w:sz="8" w:space="0"/>
            </w:tcBorders>
            <w:shd w:val="clear" w:color="auto" w:fill="FFFFFF"/>
            <w:vAlign w:val="center"/>
          </w:tcPr>
          <w:p w14:paraId="3C539C9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方正小标宋简体" w:hAnsi="方正小标宋简体" w:eastAsia="方正小标宋简体" w:cs="方正小标宋简体"/>
                <w:i w:val="0"/>
                <w:iCs w:val="0"/>
                <w:caps w:val="0"/>
                <w:color w:val="auto"/>
                <w:spacing w:val="0"/>
                <w:kern w:val="0"/>
                <w:sz w:val="22"/>
                <w:szCs w:val="22"/>
                <w:u w:val="none"/>
                <w:vertAlign w:val="baseline"/>
                <w:lang w:val="en-US" w:eastAsia="zh-CN" w:bidi="ar"/>
              </w:rPr>
              <w:t>公开依据</w:t>
            </w:r>
          </w:p>
        </w:tc>
        <w:tc>
          <w:tcPr>
            <w:tcW w:w="1904" w:type="dxa"/>
            <w:vMerge w:val="restart"/>
            <w:tcBorders>
              <w:top w:val="single" w:color="auto" w:sz="8" w:space="0"/>
              <w:left w:val="nil"/>
              <w:bottom w:val="single" w:color="auto" w:sz="8" w:space="0"/>
              <w:right w:val="single" w:color="auto" w:sz="8" w:space="0"/>
            </w:tcBorders>
            <w:shd w:val="clear" w:color="auto" w:fill="FFFFFF"/>
            <w:vAlign w:val="center"/>
          </w:tcPr>
          <w:p w14:paraId="1CCAD87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方正小标宋简体" w:hAnsi="方正小标宋简体" w:eastAsia="方正小标宋简体" w:cs="方正小标宋简体"/>
                <w:i w:val="0"/>
                <w:iCs w:val="0"/>
                <w:caps w:val="0"/>
                <w:color w:val="auto"/>
                <w:spacing w:val="0"/>
                <w:kern w:val="0"/>
                <w:sz w:val="22"/>
                <w:szCs w:val="22"/>
                <w:u w:val="none"/>
                <w:vertAlign w:val="baseline"/>
                <w:lang w:val="en-US" w:eastAsia="zh-CN" w:bidi="ar"/>
              </w:rPr>
              <w:t>公开时限</w:t>
            </w:r>
          </w:p>
        </w:tc>
        <w:tc>
          <w:tcPr>
            <w:tcW w:w="1938" w:type="dxa"/>
            <w:vMerge w:val="restart"/>
            <w:tcBorders>
              <w:top w:val="single" w:color="auto" w:sz="8" w:space="0"/>
              <w:left w:val="nil"/>
              <w:bottom w:val="single" w:color="auto" w:sz="8" w:space="0"/>
              <w:right w:val="single" w:color="auto" w:sz="8" w:space="0"/>
            </w:tcBorders>
            <w:shd w:val="clear" w:color="auto" w:fill="FFFFFF"/>
            <w:vAlign w:val="center"/>
          </w:tcPr>
          <w:p w14:paraId="661BA8D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方正小标宋简体" w:hAnsi="方正小标宋简体" w:eastAsia="方正小标宋简体" w:cs="方正小标宋简体"/>
                <w:i w:val="0"/>
                <w:iCs w:val="0"/>
                <w:caps w:val="0"/>
                <w:color w:val="auto"/>
                <w:spacing w:val="0"/>
                <w:kern w:val="0"/>
                <w:sz w:val="22"/>
                <w:szCs w:val="22"/>
                <w:u w:val="none"/>
                <w:vertAlign w:val="baseline"/>
                <w:lang w:val="en-US" w:eastAsia="zh-CN" w:bidi="ar"/>
              </w:rPr>
              <w:t>公开渠道和载体</w:t>
            </w:r>
          </w:p>
        </w:tc>
        <w:tc>
          <w:tcPr>
            <w:tcW w:w="1670" w:type="dxa"/>
            <w:gridSpan w:val="2"/>
            <w:tcBorders>
              <w:top w:val="single" w:color="auto" w:sz="8" w:space="0"/>
              <w:left w:val="nil"/>
              <w:bottom w:val="nil"/>
              <w:right w:val="single" w:color="auto" w:sz="8" w:space="0"/>
            </w:tcBorders>
            <w:shd w:val="clear" w:color="auto" w:fill="FFFFFF"/>
            <w:vAlign w:val="center"/>
          </w:tcPr>
          <w:p w14:paraId="0D341BE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方正小标宋简体" w:hAnsi="方正小标宋简体" w:eastAsia="方正小标宋简体" w:cs="方正小标宋简体"/>
                <w:i w:val="0"/>
                <w:iCs w:val="0"/>
                <w:caps w:val="0"/>
                <w:color w:val="auto"/>
                <w:spacing w:val="0"/>
                <w:kern w:val="0"/>
                <w:sz w:val="22"/>
                <w:szCs w:val="22"/>
                <w:u w:val="none"/>
                <w:vertAlign w:val="baseline"/>
                <w:lang w:val="en-US" w:eastAsia="zh-CN" w:bidi="ar"/>
              </w:rPr>
              <w:t>公开对象</w:t>
            </w:r>
          </w:p>
        </w:tc>
        <w:tc>
          <w:tcPr>
            <w:tcW w:w="1520" w:type="dxa"/>
            <w:gridSpan w:val="2"/>
            <w:tcBorders>
              <w:top w:val="single" w:color="auto" w:sz="8" w:space="0"/>
              <w:left w:val="nil"/>
              <w:bottom w:val="single" w:color="auto" w:sz="8" w:space="0"/>
              <w:right w:val="single" w:color="auto" w:sz="8" w:space="0"/>
            </w:tcBorders>
            <w:shd w:val="clear" w:color="auto" w:fill="FFFFFF"/>
            <w:vAlign w:val="center"/>
          </w:tcPr>
          <w:p w14:paraId="24C6548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方正小标宋简体" w:hAnsi="方正小标宋简体" w:eastAsia="方正小标宋简体" w:cs="方正小标宋简体"/>
                <w:i w:val="0"/>
                <w:iCs w:val="0"/>
                <w:caps w:val="0"/>
                <w:color w:val="auto"/>
                <w:spacing w:val="0"/>
                <w:kern w:val="0"/>
                <w:sz w:val="22"/>
                <w:szCs w:val="22"/>
                <w:u w:val="none"/>
                <w:vertAlign w:val="baseline"/>
                <w:lang w:val="en-US" w:eastAsia="zh-CN" w:bidi="ar"/>
              </w:rPr>
              <w:t>公开方式</w:t>
            </w:r>
          </w:p>
        </w:tc>
      </w:tr>
      <w:tr w14:paraId="06AE0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5" w:hRule="atLeast"/>
          <w:jc w:val="center"/>
        </w:trPr>
        <w:tc>
          <w:tcPr>
            <w:tcW w:w="42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030C04A">
            <w:pPr>
              <w:jc w:val="center"/>
              <w:rPr>
                <w:rFonts w:hint="eastAsia" w:ascii="宋体" w:hAnsi="宋体" w:eastAsia="宋体" w:cs="宋体"/>
                <w:caps w:val="0"/>
                <w:color w:val="auto"/>
                <w:spacing w:val="0"/>
                <w:sz w:val="18"/>
                <w:szCs w:val="18"/>
              </w:rPr>
            </w:pPr>
          </w:p>
        </w:tc>
        <w:tc>
          <w:tcPr>
            <w:tcW w:w="950" w:type="dxa"/>
            <w:tcBorders>
              <w:top w:val="nil"/>
              <w:left w:val="nil"/>
              <w:bottom w:val="single" w:color="auto" w:sz="8" w:space="0"/>
              <w:right w:val="single" w:color="auto" w:sz="8" w:space="0"/>
            </w:tcBorders>
            <w:shd w:val="clear" w:color="auto" w:fill="FFFFFF"/>
            <w:vAlign w:val="center"/>
          </w:tcPr>
          <w:p w14:paraId="22FFB81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方正小标宋简体" w:hAnsi="方正小标宋简体" w:eastAsia="方正小标宋简体" w:cs="方正小标宋简体"/>
                <w:i w:val="0"/>
                <w:iCs w:val="0"/>
                <w:caps w:val="0"/>
                <w:color w:val="auto"/>
                <w:spacing w:val="0"/>
                <w:kern w:val="0"/>
                <w:sz w:val="22"/>
                <w:szCs w:val="22"/>
                <w:u w:val="none"/>
                <w:vertAlign w:val="baseline"/>
                <w:lang w:val="en-US" w:eastAsia="zh-CN" w:bidi="ar"/>
              </w:rPr>
              <w:t>一级事项</w:t>
            </w:r>
          </w:p>
        </w:tc>
        <w:tc>
          <w:tcPr>
            <w:tcW w:w="1876" w:type="dxa"/>
            <w:tcBorders>
              <w:top w:val="nil"/>
              <w:left w:val="nil"/>
              <w:bottom w:val="single" w:color="auto" w:sz="8" w:space="0"/>
              <w:right w:val="single" w:color="auto" w:sz="8" w:space="0"/>
            </w:tcBorders>
            <w:shd w:val="clear" w:color="auto" w:fill="FFFFFF"/>
            <w:vAlign w:val="center"/>
          </w:tcPr>
          <w:p w14:paraId="777C522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方正小标宋简体" w:hAnsi="方正小标宋简体" w:eastAsia="方正小标宋简体" w:cs="方正小标宋简体"/>
                <w:i w:val="0"/>
                <w:iCs w:val="0"/>
                <w:caps w:val="0"/>
                <w:color w:val="auto"/>
                <w:spacing w:val="0"/>
                <w:kern w:val="0"/>
                <w:sz w:val="22"/>
                <w:szCs w:val="22"/>
                <w:u w:val="none"/>
                <w:vertAlign w:val="baseline"/>
                <w:lang w:val="en-US" w:eastAsia="zh-CN" w:bidi="ar"/>
              </w:rPr>
              <w:t>二级事项</w:t>
            </w:r>
          </w:p>
        </w:tc>
        <w:tc>
          <w:tcPr>
            <w:tcW w:w="1814" w:type="dxa"/>
            <w:vMerge w:val="continue"/>
            <w:tcBorders>
              <w:top w:val="single" w:color="auto" w:sz="8" w:space="0"/>
              <w:left w:val="nil"/>
              <w:bottom w:val="single" w:color="auto" w:sz="8" w:space="0"/>
              <w:right w:val="single" w:color="auto" w:sz="8" w:space="0"/>
            </w:tcBorders>
            <w:shd w:val="clear" w:color="auto" w:fill="FFFFFF"/>
            <w:vAlign w:val="center"/>
          </w:tcPr>
          <w:p w14:paraId="08BF9402">
            <w:pPr>
              <w:jc w:val="center"/>
              <w:rPr>
                <w:rFonts w:hint="eastAsia" w:ascii="宋体" w:hAnsi="宋体" w:eastAsia="宋体" w:cs="宋体"/>
                <w:caps w:val="0"/>
                <w:color w:val="auto"/>
                <w:spacing w:val="0"/>
                <w:sz w:val="18"/>
                <w:szCs w:val="18"/>
              </w:rPr>
            </w:pPr>
          </w:p>
        </w:tc>
        <w:tc>
          <w:tcPr>
            <w:tcW w:w="1894" w:type="dxa"/>
            <w:vMerge w:val="continue"/>
            <w:tcBorders>
              <w:top w:val="single" w:color="auto" w:sz="8" w:space="0"/>
              <w:left w:val="nil"/>
              <w:bottom w:val="single" w:color="auto" w:sz="8" w:space="0"/>
              <w:right w:val="single" w:color="auto" w:sz="8" w:space="0"/>
            </w:tcBorders>
            <w:shd w:val="clear" w:color="auto" w:fill="FFFFFF"/>
            <w:vAlign w:val="center"/>
          </w:tcPr>
          <w:p w14:paraId="77FE15DE">
            <w:pPr>
              <w:jc w:val="center"/>
              <w:rPr>
                <w:rFonts w:hint="eastAsia" w:ascii="宋体" w:hAnsi="宋体" w:eastAsia="宋体" w:cs="宋体"/>
                <w:caps w:val="0"/>
                <w:color w:val="auto"/>
                <w:spacing w:val="0"/>
                <w:sz w:val="18"/>
                <w:szCs w:val="18"/>
              </w:rPr>
            </w:pPr>
          </w:p>
        </w:tc>
        <w:tc>
          <w:tcPr>
            <w:tcW w:w="1904" w:type="dxa"/>
            <w:vMerge w:val="continue"/>
            <w:tcBorders>
              <w:top w:val="single" w:color="auto" w:sz="8" w:space="0"/>
              <w:left w:val="nil"/>
              <w:bottom w:val="single" w:color="auto" w:sz="8" w:space="0"/>
              <w:right w:val="single" w:color="auto" w:sz="8" w:space="0"/>
            </w:tcBorders>
            <w:shd w:val="clear" w:color="auto" w:fill="FFFFFF"/>
            <w:vAlign w:val="center"/>
          </w:tcPr>
          <w:p w14:paraId="3406574E">
            <w:pPr>
              <w:jc w:val="center"/>
              <w:rPr>
                <w:rFonts w:hint="eastAsia" w:ascii="宋体" w:hAnsi="宋体" w:eastAsia="宋体" w:cs="宋体"/>
                <w:caps w:val="0"/>
                <w:color w:val="auto"/>
                <w:spacing w:val="0"/>
                <w:sz w:val="18"/>
                <w:szCs w:val="18"/>
              </w:rPr>
            </w:pPr>
          </w:p>
        </w:tc>
        <w:tc>
          <w:tcPr>
            <w:tcW w:w="1938" w:type="dxa"/>
            <w:vMerge w:val="continue"/>
            <w:tcBorders>
              <w:top w:val="single" w:color="auto" w:sz="8" w:space="0"/>
              <w:left w:val="nil"/>
              <w:bottom w:val="single" w:color="auto" w:sz="8" w:space="0"/>
              <w:right w:val="single" w:color="auto" w:sz="8" w:space="0"/>
            </w:tcBorders>
            <w:shd w:val="clear" w:color="auto" w:fill="FFFFFF"/>
            <w:vAlign w:val="center"/>
          </w:tcPr>
          <w:p w14:paraId="7CDB178C">
            <w:pPr>
              <w:jc w:val="center"/>
              <w:rPr>
                <w:rFonts w:hint="eastAsia" w:ascii="宋体" w:hAnsi="宋体" w:eastAsia="宋体" w:cs="宋体"/>
                <w:caps w:val="0"/>
                <w:color w:val="auto"/>
                <w:spacing w:val="0"/>
                <w:sz w:val="18"/>
                <w:szCs w:val="18"/>
              </w:rPr>
            </w:pPr>
          </w:p>
        </w:tc>
        <w:tc>
          <w:tcPr>
            <w:tcW w:w="810" w:type="dxa"/>
            <w:tcBorders>
              <w:top w:val="nil"/>
              <w:left w:val="nil"/>
              <w:bottom w:val="single" w:color="auto" w:sz="8" w:space="0"/>
              <w:right w:val="single" w:color="auto" w:sz="8" w:space="0"/>
            </w:tcBorders>
            <w:shd w:val="clear" w:color="auto" w:fill="FFFFFF"/>
            <w:vAlign w:val="center"/>
          </w:tcPr>
          <w:p w14:paraId="61BD065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方正小标宋简体" w:hAnsi="方正小标宋简体" w:eastAsia="方正小标宋简体" w:cs="方正小标宋简体"/>
                <w:i w:val="0"/>
                <w:iCs w:val="0"/>
                <w:caps w:val="0"/>
                <w:color w:val="auto"/>
                <w:spacing w:val="0"/>
                <w:kern w:val="0"/>
                <w:sz w:val="18"/>
                <w:szCs w:val="18"/>
                <w:u w:val="none"/>
                <w:vertAlign w:val="baseline"/>
                <w:lang w:val="en-US" w:eastAsia="zh-CN" w:bidi="ar"/>
              </w:rPr>
              <w:t>全社会</w:t>
            </w:r>
          </w:p>
        </w:tc>
        <w:tc>
          <w:tcPr>
            <w:tcW w:w="860" w:type="dxa"/>
            <w:tcBorders>
              <w:top w:val="single" w:color="auto" w:sz="8" w:space="0"/>
              <w:left w:val="nil"/>
              <w:bottom w:val="single" w:color="auto" w:sz="8" w:space="0"/>
              <w:right w:val="single" w:color="auto" w:sz="8" w:space="0"/>
            </w:tcBorders>
            <w:shd w:val="clear" w:color="auto" w:fill="FFFFFF"/>
            <w:vAlign w:val="center"/>
          </w:tcPr>
          <w:p w14:paraId="42D071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400" w:lineRule="exact"/>
              <w:ind w:left="0" w:right="0" w:firstLine="0"/>
              <w:jc w:val="center"/>
              <w:textAlignment w:val="center"/>
              <w:rPr>
                <w:i w:val="0"/>
                <w:iCs w:val="0"/>
                <w:color w:val="auto"/>
                <w:u w:val="none"/>
              </w:rPr>
            </w:pPr>
            <w:r>
              <w:rPr>
                <w:rFonts w:hint="eastAsia" w:ascii="方正小标宋简体" w:hAnsi="方正小标宋简体" w:eastAsia="方正小标宋简体" w:cs="方正小标宋简体"/>
                <w:i w:val="0"/>
                <w:iCs w:val="0"/>
                <w:caps w:val="0"/>
                <w:color w:val="auto"/>
                <w:spacing w:val="0"/>
                <w:kern w:val="0"/>
                <w:sz w:val="18"/>
                <w:szCs w:val="18"/>
                <w:u w:val="none"/>
                <w:vertAlign w:val="baseline"/>
                <w:lang w:val="en-US" w:eastAsia="zh-CN" w:bidi="ar"/>
              </w:rPr>
              <w:t>特定</w:t>
            </w:r>
          </w:p>
          <w:p w14:paraId="6DEFBA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400" w:lineRule="exact"/>
              <w:ind w:left="0" w:right="0" w:firstLine="0"/>
              <w:jc w:val="center"/>
              <w:textAlignment w:val="center"/>
              <w:rPr>
                <w:i w:val="0"/>
                <w:iCs w:val="0"/>
                <w:color w:val="auto"/>
                <w:u w:val="none"/>
              </w:rPr>
            </w:pPr>
            <w:r>
              <w:rPr>
                <w:rFonts w:hint="eastAsia" w:ascii="方正小标宋简体" w:hAnsi="方正小标宋简体" w:eastAsia="方正小标宋简体" w:cs="方正小标宋简体"/>
                <w:i w:val="0"/>
                <w:iCs w:val="0"/>
                <w:caps w:val="0"/>
                <w:color w:val="auto"/>
                <w:spacing w:val="0"/>
                <w:kern w:val="0"/>
                <w:sz w:val="18"/>
                <w:szCs w:val="18"/>
                <w:u w:val="none"/>
                <w:vertAlign w:val="baseline"/>
                <w:lang w:val="en-US" w:eastAsia="zh-CN" w:bidi="ar"/>
              </w:rPr>
              <w:t>群众</w:t>
            </w:r>
          </w:p>
        </w:tc>
        <w:tc>
          <w:tcPr>
            <w:tcW w:w="702" w:type="dxa"/>
            <w:tcBorders>
              <w:top w:val="single" w:color="auto" w:sz="8" w:space="0"/>
              <w:left w:val="nil"/>
              <w:bottom w:val="single" w:color="auto" w:sz="8" w:space="0"/>
              <w:right w:val="single" w:color="auto" w:sz="8" w:space="0"/>
            </w:tcBorders>
            <w:shd w:val="clear" w:color="auto" w:fill="FFFFFF"/>
            <w:vAlign w:val="center"/>
          </w:tcPr>
          <w:p w14:paraId="30DCEC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400" w:lineRule="exact"/>
              <w:ind w:left="0" w:right="0" w:firstLine="0"/>
              <w:jc w:val="center"/>
              <w:textAlignment w:val="center"/>
              <w:rPr>
                <w:i w:val="0"/>
                <w:iCs w:val="0"/>
                <w:color w:val="auto"/>
                <w:u w:val="none"/>
              </w:rPr>
            </w:pPr>
            <w:r>
              <w:rPr>
                <w:rFonts w:hint="eastAsia" w:ascii="方正小标宋简体" w:hAnsi="方正小标宋简体" w:eastAsia="方正小标宋简体" w:cs="方正小标宋简体"/>
                <w:i w:val="0"/>
                <w:iCs w:val="0"/>
                <w:caps w:val="0"/>
                <w:color w:val="auto"/>
                <w:spacing w:val="0"/>
                <w:kern w:val="0"/>
                <w:sz w:val="18"/>
                <w:szCs w:val="18"/>
                <w:u w:val="none"/>
                <w:vertAlign w:val="baseline"/>
                <w:lang w:val="en-US" w:eastAsia="zh-CN" w:bidi="ar"/>
              </w:rPr>
              <w:t>主动</w:t>
            </w:r>
            <w:r>
              <w:rPr>
                <w:rFonts w:hint="eastAsia" w:ascii="方正小标宋简体" w:hAnsi="方正小标宋简体" w:eastAsia="方正小标宋简体" w:cs="方正小标宋简体"/>
                <w:i w:val="0"/>
                <w:iCs w:val="0"/>
                <w:caps w:val="0"/>
                <w:color w:val="auto"/>
                <w:spacing w:val="0"/>
                <w:kern w:val="0"/>
                <w:sz w:val="18"/>
                <w:szCs w:val="18"/>
                <w:u w:val="none"/>
                <w:vertAlign w:val="baseline"/>
                <w:lang w:val="en-US" w:eastAsia="zh-CN" w:bidi="ar"/>
              </w:rPr>
              <w:br w:type="textWrapping"/>
            </w:r>
            <w:r>
              <w:rPr>
                <w:rFonts w:hint="eastAsia" w:ascii="方正小标宋简体" w:hAnsi="方正小标宋简体" w:eastAsia="方正小标宋简体" w:cs="方正小标宋简体"/>
                <w:i w:val="0"/>
                <w:iCs w:val="0"/>
                <w:caps w:val="0"/>
                <w:color w:val="auto"/>
                <w:spacing w:val="0"/>
                <w:kern w:val="0"/>
                <w:sz w:val="18"/>
                <w:szCs w:val="18"/>
                <w:u w:val="none"/>
                <w:vertAlign w:val="baseline"/>
                <w:lang w:val="en-US" w:eastAsia="zh-CN" w:bidi="ar"/>
              </w:rPr>
              <w:t>公开</w:t>
            </w:r>
          </w:p>
        </w:tc>
        <w:tc>
          <w:tcPr>
            <w:tcW w:w="818" w:type="dxa"/>
            <w:tcBorders>
              <w:top w:val="single" w:color="auto" w:sz="8" w:space="0"/>
              <w:left w:val="nil"/>
              <w:bottom w:val="single" w:color="auto" w:sz="8" w:space="0"/>
              <w:right w:val="single" w:color="auto" w:sz="8" w:space="0"/>
            </w:tcBorders>
            <w:shd w:val="clear" w:color="auto" w:fill="FFFFFF"/>
            <w:vAlign w:val="center"/>
          </w:tcPr>
          <w:p w14:paraId="7CCDAE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400" w:lineRule="exact"/>
              <w:ind w:left="0" w:right="0" w:firstLine="0"/>
              <w:jc w:val="center"/>
              <w:textAlignment w:val="center"/>
              <w:rPr>
                <w:i w:val="0"/>
                <w:iCs w:val="0"/>
                <w:color w:val="auto"/>
                <w:u w:val="none"/>
              </w:rPr>
            </w:pPr>
            <w:r>
              <w:rPr>
                <w:rFonts w:hint="eastAsia" w:ascii="方正小标宋简体" w:hAnsi="方正小标宋简体" w:eastAsia="方正小标宋简体" w:cs="方正小标宋简体"/>
                <w:i w:val="0"/>
                <w:iCs w:val="0"/>
                <w:caps w:val="0"/>
                <w:color w:val="auto"/>
                <w:spacing w:val="0"/>
                <w:kern w:val="0"/>
                <w:sz w:val="18"/>
                <w:szCs w:val="18"/>
                <w:u w:val="none"/>
                <w:vertAlign w:val="baseline"/>
                <w:lang w:val="en-US" w:eastAsia="zh-CN" w:bidi="ar"/>
              </w:rPr>
              <w:t>依申请</w:t>
            </w:r>
          </w:p>
          <w:p w14:paraId="493FC0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400" w:lineRule="exact"/>
              <w:ind w:left="0" w:right="0" w:firstLine="0"/>
              <w:jc w:val="center"/>
              <w:textAlignment w:val="center"/>
              <w:rPr>
                <w:i w:val="0"/>
                <w:iCs w:val="0"/>
                <w:color w:val="auto"/>
                <w:u w:val="none"/>
              </w:rPr>
            </w:pPr>
            <w:r>
              <w:rPr>
                <w:rFonts w:hint="eastAsia" w:ascii="方正小标宋简体" w:hAnsi="方正小标宋简体" w:eastAsia="方正小标宋简体" w:cs="方正小标宋简体"/>
                <w:i w:val="0"/>
                <w:iCs w:val="0"/>
                <w:caps w:val="0"/>
                <w:color w:val="auto"/>
                <w:spacing w:val="0"/>
                <w:kern w:val="0"/>
                <w:sz w:val="18"/>
                <w:szCs w:val="18"/>
                <w:u w:val="none"/>
                <w:vertAlign w:val="baseline"/>
                <w:lang w:val="en-US" w:eastAsia="zh-CN" w:bidi="ar"/>
              </w:rPr>
              <w:t>公开</w:t>
            </w:r>
          </w:p>
        </w:tc>
      </w:tr>
      <w:tr w14:paraId="10C57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701"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01B4D55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1</w:t>
            </w:r>
          </w:p>
        </w:tc>
        <w:tc>
          <w:tcPr>
            <w:tcW w:w="950" w:type="dxa"/>
            <w:vMerge w:val="restart"/>
            <w:tcBorders>
              <w:top w:val="nil"/>
              <w:left w:val="nil"/>
              <w:bottom w:val="single" w:color="auto" w:sz="8" w:space="0"/>
              <w:right w:val="single" w:color="auto" w:sz="8" w:space="0"/>
            </w:tcBorders>
            <w:shd w:val="clear" w:color="auto" w:fill="FFFFFF"/>
            <w:vAlign w:val="center"/>
          </w:tcPr>
          <w:p w14:paraId="3B6B672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机构信息</w:t>
            </w:r>
          </w:p>
        </w:tc>
        <w:tc>
          <w:tcPr>
            <w:tcW w:w="1876" w:type="dxa"/>
            <w:tcBorders>
              <w:top w:val="nil"/>
              <w:left w:val="nil"/>
              <w:bottom w:val="single" w:color="auto" w:sz="8" w:space="0"/>
              <w:right w:val="single" w:color="auto" w:sz="8" w:space="0"/>
            </w:tcBorders>
            <w:shd w:val="clear" w:color="auto" w:fill="FFFFFF"/>
            <w:vAlign w:val="center"/>
          </w:tcPr>
          <w:p w14:paraId="3F70A39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基本信息</w:t>
            </w:r>
          </w:p>
        </w:tc>
        <w:tc>
          <w:tcPr>
            <w:tcW w:w="1814" w:type="dxa"/>
            <w:tcBorders>
              <w:top w:val="nil"/>
              <w:left w:val="nil"/>
              <w:bottom w:val="single" w:color="auto" w:sz="8" w:space="0"/>
              <w:right w:val="single" w:color="auto" w:sz="8" w:space="0"/>
            </w:tcBorders>
            <w:shd w:val="clear" w:color="auto" w:fill="FFFFFF"/>
            <w:vAlign w:val="center"/>
          </w:tcPr>
          <w:p w14:paraId="285DD5C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1.机构</w:t>
            </w:r>
            <w:r>
              <w:rPr>
                <w:rFonts w:hint="eastAsia" w:ascii="宋体" w:hAnsi="宋体" w:eastAsia="宋体" w:cs="宋体"/>
                <w:i w:val="0"/>
                <w:iCs w:val="0"/>
                <w:caps w:val="0"/>
                <w:color w:val="auto"/>
                <w:spacing w:val="0"/>
                <w:kern w:val="0"/>
                <w:sz w:val="22"/>
                <w:szCs w:val="22"/>
                <w:u w:val="none"/>
                <w:lang w:val="en-US" w:eastAsia="zh-CN" w:bidi="ar"/>
              </w:rPr>
              <w:t>名称</w:t>
            </w:r>
          </w:p>
          <w:p w14:paraId="056D602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2.联系方式</w:t>
            </w:r>
          </w:p>
          <w:p w14:paraId="1351477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3.办公地址</w:t>
            </w:r>
          </w:p>
          <w:p w14:paraId="2022B2B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4.办公时间</w:t>
            </w:r>
          </w:p>
        </w:tc>
        <w:tc>
          <w:tcPr>
            <w:tcW w:w="1894" w:type="dxa"/>
            <w:tcBorders>
              <w:top w:val="nil"/>
              <w:left w:val="nil"/>
              <w:bottom w:val="single" w:color="auto" w:sz="8" w:space="0"/>
              <w:right w:val="single" w:color="auto" w:sz="8" w:space="0"/>
            </w:tcBorders>
            <w:shd w:val="clear" w:color="auto" w:fill="FFFFFF"/>
            <w:vAlign w:val="center"/>
          </w:tcPr>
          <w:p w14:paraId="5BC468F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right="0" w:firstLine="440" w:firstLineChars="20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《中华人民共和国政府信息公开条例》《湖南省实施&lt;中华人民共和国政府信息公开条例&gt;办法》等法律法规规章规范性文件</w:t>
            </w:r>
          </w:p>
        </w:tc>
        <w:tc>
          <w:tcPr>
            <w:tcW w:w="1904" w:type="dxa"/>
            <w:tcBorders>
              <w:top w:val="nil"/>
              <w:left w:val="nil"/>
              <w:bottom w:val="single" w:color="auto" w:sz="8" w:space="0"/>
              <w:right w:val="single" w:color="auto" w:sz="8" w:space="0"/>
            </w:tcBorders>
            <w:shd w:val="clear" w:color="auto" w:fill="FFFFFF"/>
            <w:vAlign w:val="center"/>
          </w:tcPr>
          <w:p w14:paraId="7A707C1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信息产生或变更之日起20个工作日内公开，保持长期公开（相关法律法规另有规定的，从其规定）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6588FE6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tc>
        <w:tc>
          <w:tcPr>
            <w:tcW w:w="810" w:type="dxa"/>
            <w:tcBorders>
              <w:top w:val="nil"/>
              <w:left w:val="nil"/>
              <w:bottom w:val="single" w:color="auto" w:sz="8" w:space="0"/>
              <w:right w:val="single" w:color="auto" w:sz="8" w:space="0"/>
            </w:tcBorders>
            <w:shd w:val="clear" w:color="auto" w:fill="FFFFFF"/>
            <w:vAlign w:val="center"/>
          </w:tcPr>
          <w:p w14:paraId="317F2F7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045CEB1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58B9EAA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552BF7A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585D9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996"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5F8A3A2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2</w:t>
            </w:r>
          </w:p>
        </w:tc>
        <w:tc>
          <w:tcPr>
            <w:tcW w:w="950" w:type="dxa"/>
            <w:vMerge w:val="continue"/>
            <w:tcBorders>
              <w:top w:val="nil"/>
              <w:left w:val="nil"/>
              <w:bottom w:val="single" w:color="auto" w:sz="8" w:space="0"/>
              <w:right w:val="single" w:color="auto" w:sz="8" w:space="0"/>
            </w:tcBorders>
            <w:shd w:val="clear" w:color="auto" w:fill="FFFFFF"/>
            <w:vAlign w:val="center"/>
          </w:tcPr>
          <w:p w14:paraId="4F8BADC1">
            <w:pPr>
              <w:jc w:val="center"/>
              <w:rPr>
                <w:rFonts w:hint="eastAsia" w:ascii="宋体" w:hAnsi="宋体" w:eastAsia="宋体" w:cs="宋体"/>
                <w:caps w:val="0"/>
                <w:color w:val="auto"/>
                <w:spacing w:val="0"/>
                <w:sz w:val="18"/>
                <w:szCs w:val="18"/>
              </w:rPr>
            </w:pPr>
          </w:p>
        </w:tc>
        <w:tc>
          <w:tcPr>
            <w:tcW w:w="1876" w:type="dxa"/>
            <w:tcBorders>
              <w:top w:val="nil"/>
              <w:left w:val="nil"/>
              <w:bottom w:val="single" w:color="auto" w:sz="8" w:space="0"/>
              <w:right w:val="single" w:color="auto" w:sz="8" w:space="0"/>
            </w:tcBorders>
            <w:shd w:val="clear" w:color="auto" w:fill="FFFFFF"/>
            <w:vAlign w:val="center"/>
          </w:tcPr>
          <w:p w14:paraId="6E9CB8D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法定职责</w:t>
            </w:r>
          </w:p>
        </w:tc>
        <w:tc>
          <w:tcPr>
            <w:tcW w:w="1814" w:type="dxa"/>
            <w:tcBorders>
              <w:top w:val="nil"/>
              <w:left w:val="nil"/>
              <w:bottom w:val="single" w:color="auto" w:sz="8" w:space="0"/>
              <w:right w:val="single" w:color="auto" w:sz="8" w:space="0"/>
            </w:tcBorders>
            <w:shd w:val="clear" w:color="auto" w:fill="FFFFFF"/>
            <w:vAlign w:val="center"/>
          </w:tcPr>
          <w:p w14:paraId="74BA258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依据“三定”规定确定的本部门法定职责</w:t>
            </w:r>
          </w:p>
        </w:tc>
        <w:tc>
          <w:tcPr>
            <w:tcW w:w="1894" w:type="dxa"/>
            <w:tcBorders>
              <w:top w:val="nil"/>
              <w:left w:val="nil"/>
              <w:bottom w:val="single" w:color="auto" w:sz="8" w:space="0"/>
              <w:right w:val="single" w:color="auto" w:sz="8" w:space="0"/>
            </w:tcBorders>
            <w:shd w:val="clear" w:color="auto" w:fill="FFFFFF"/>
            <w:vAlign w:val="center"/>
          </w:tcPr>
          <w:p w14:paraId="29378BB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right="0" w:firstLine="440" w:firstLineChars="20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《中华人民共和国政府信息公开条例》《湖南省实施&lt;中华人民共和国政府信息公开条例&gt;办法》等法律法规规章规范性文件</w:t>
            </w:r>
          </w:p>
        </w:tc>
        <w:tc>
          <w:tcPr>
            <w:tcW w:w="1904" w:type="dxa"/>
            <w:tcBorders>
              <w:top w:val="nil"/>
              <w:left w:val="nil"/>
              <w:bottom w:val="single" w:color="auto" w:sz="8" w:space="0"/>
              <w:right w:val="single" w:color="auto" w:sz="8" w:space="0"/>
            </w:tcBorders>
            <w:shd w:val="clear" w:color="auto" w:fill="FFFFFF"/>
            <w:vAlign w:val="center"/>
          </w:tcPr>
          <w:p w14:paraId="6F40DEA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信息产生或变更之日起20个工作日内公开，保持长期公开（相关法律法规另有规定的，从其规定）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60DC02F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tc>
        <w:tc>
          <w:tcPr>
            <w:tcW w:w="810" w:type="dxa"/>
            <w:tcBorders>
              <w:top w:val="nil"/>
              <w:left w:val="nil"/>
              <w:bottom w:val="single" w:color="auto" w:sz="8" w:space="0"/>
              <w:right w:val="single" w:color="auto" w:sz="8" w:space="0"/>
            </w:tcBorders>
            <w:shd w:val="clear" w:color="auto" w:fill="FFFFFF"/>
            <w:vAlign w:val="center"/>
          </w:tcPr>
          <w:p w14:paraId="6C09D3E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70CB010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1972143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59D7896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48EE1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1"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32AABF4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3</w:t>
            </w:r>
          </w:p>
        </w:tc>
        <w:tc>
          <w:tcPr>
            <w:tcW w:w="950" w:type="dxa"/>
            <w:vMerge w:val="continue"/>
            <w:tcBorders>
              <w:top w:val="nil"/>
              <w:left w:val="nil"/>
              <w:bottom w:val="single" w:color="auto" w:sz="8" w:space="0"/>
              <w:right w:val="single" w:color="auto" w:sz="8" w:space="0"/>
            </w:tcBorders>
            <w:shd w:val="clear" w:color="auto" w:fill="FFFFFF"/>
            <w:vAlign w:val="center"/>
          </w:tcPr>
          <w:p w14:paraId="2F707401">
            <w:pPr>
              <w:jc w:val="center"/>
              <w:rPr>
                <w:rFonts w:hint="eastAsia" w:ascii="宋体" w:hAnsi="宋体" w:eastAsia="宋体" w:cs="宋体"/>
                <w:caps w:val="0"/>
                <w:color w:val="auto"/>
                <w:spacing w:val="0"/>
                <w:sz w:val="18"/>
                <w:szCs w:val="18"/>
              </w:rPr>
            </w:pPr>
          </w:p>
        </w:tc>
        <w:tc>
          <w:tcPr>
            <w:tcW w:w="1876" w:type="dxa"/>
            <w:tcBorders>
              <w:top w:val="nil"/>
              <w:left w:val="nil"/>
              <w:bottom w:val="single" w:color="auto" w:sz="8" w:space="0"/>
              <w:right w:val="single" w:color="auto" w:sz="8" w:space="0"/>
            </w:tcBorders>
            <w:shd w:val="clear" w:color="auto" w:fill="FFFFFF"/>
            <w:vAlign w:val="center"/>
          </w:tcPr>
          <w:p w14:paraId="0B287EE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领导简历</w:t>
            </w:r>
          </w:p>
        </w:tc>
        <w:tc>
          <w:tcPr>
            <w:tcW w:w="1814" w:type="dxa"/>
            <w:tcBorders>
              <w:top w:val="nil"/>
              <w:left w:val="nil"/>
              <w:bottom w:val="single" w:color="auto" w:sz="8" w:space="0"/>
              <w:right w:val="single" w:color="auto" w:sz="8" w:space="0"/>
            </w:tcBorders>
            <w:shd w:val="clear" w:color="auto" w:fill="FFFFFF"/>
            <w:vAlign w:val="center"/>
          </w:tcPr>
          <w:p w14:paraId="7DBC587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1.姓名</w:t>
            </w:r>
          </w:p>
          <w:p w14:paraId="3E561B8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2.职务</w:t>
            </w:r>
          </w:p>
          <w:p w14:paraId="4C53BD9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3.工作分工</w:t>
            </w:r>
          </w:p>
        </w:tc>
        <w:tc>
          <w:tcPr>
            <w:tcW w:w="1894" w:type="dxa"/>
            <w:tcBorders>
              <w:top w:val="nil"/>
              <w:left w:val="nil"/>
              <w:bottom w:val="single" w:color="auto" w:sz="8" w:space="0"/>
              <w:right w:val="single" w:color="auto" w:sz="8" w:space="0"/>
            </w:tcBorders>
            <w:shd w:val="clear" w:color="auto" w:fill="FFFFFF"/>
            <w:vAlign w:val="center"/>
          </w:tcPr>
          <w:p w14:paraId="6D870ED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right="0" w:firstLine="440" w:firstLineChars="20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《中华人民共和国政府信息公开条例》《湖南省实施&lt;中华人民共和国政府信息公开条例&gt;办法》等法律法规规章规范性文件</w:t>
            </w:r>
          </w:p>
        </w:tc>
        <w:tc>
          <w:tcPr>
            <w:tcW w:w="1904" w:type="dxa"/>
            <w:tcBorders>
              <w:top w:val="nil"/>
              <w:left w:val="nil"/>
              <w:bottom w:val="single" w:color="auto" w:sz="8" w:space="0"/>
              <w:right w:val="single" w:color="auto" w:sz="8" w:space="0"/>
            </w:tcBorders>
            <w:shd w:val="clear" w:color="auto" w:fill="FFFFFF"/>
            <w:vAlign w:val="center"/>
          </w:tcPr>
          <w:p w14:paraId="0EA0063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信息产生或变更之日起20个工作日内公开，保持长期公开（相关法律法规另有规定的，从其规定）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20DF45A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tc>
        <w:tc>
          <w:tcPr>
            <w:tcW w:w="810" w:type="dxa"/>
            <w:tcBorders>
              <w:top w:val="nil"/>
              <w:left w:val="nil"/>
              <w:bottom w:val="single" w:color="auto" w:sz="8" w:space="0"/>
              <w:right w:val="single" w:color="auto" w:sz="8" w:space="0"/>
            </w:tcBorders>
            <w:shd w:val="clear" w:color="auto" w:fill="FFFFFF"/>
            <w:vAlign w:val="center"/>
          </w:tcPr>
          <w:p w14:paraId="77B24AA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6C4BB9A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3AEEB96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34EA6F8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1A797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996"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4DBFA96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4</w:t>
            </w:r>
          </w:p>
        </w:tc>
        <w:tc>
          <w:tcPr>
            <w:tcW w:w="950" w:type="dxa"/>
            <w:vMerge w:val="continue"/>
            <w:tcBorders>
              <w:top w:val="nil"/>
              <w:left w:val="nil"/>
              <w:bottom w:val="single" w:color="auto" w:sz="8" w:space="0"/>
              <w:right w:val="single" w:color="auto" w:sz="8" w:space="0"/>
            </w:tcBorders>
            <w:shd w:val="clear" w:color="auto" w:fill="FFFFFF"/>
            <w:vAlign w:val="center"/>
          </w:tcPr>
          <w:p w14:paraId="0341D927">
            <w:pPr>
              <w:jc w:val="center"/>
              <w:rPr>
                <w:rFonts w:hint="eastAsia" w:ascii="宋体" w:hAnsi="宋体" w:eastAsia="宋体" w:cs="宋体"/>
                <w:caps w:val="0"/>
                <w:color w:val="auto"/>
                <w:spacing w:val="0"/>
                <w:sz w:val="18"/>
                <w:szCs w:val="18"/>
              </w:rPr>
            </w:pPr>
          </w:p>
        </w:tc>
        <w:tc>
          <w:tcPr>
            <w:tcW w:w="1876" w:type="dxa"/>
            <w:tcBorders>
              <w:top w:val="nil"/>
              <w:left w:val="nil"/>
              <w:bottom w:val="single" w:color="auto" w:sz="8" w:space="0"/>
              <w:right w:val="single" w:color="auto" w:sz="8" w:space="0"/>
            </w:tcBorders>
            <w:shd w:val="clear" w:color="auto" w:fill="FFFFFF"/>
            <w:vAlign w:val="center"/>
          </w:tcPr>
          <w:p w14:paraId="7789FF2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内设机构</w:t>
            </w:r>
          </w:p>
        </w:tc>
        <w:tc>
          <w:tcPr>
            <w:tcW w:w="1814" w:type="dxa"/>
            <w:tcBorders>
              <w:top w:val="nil"/>
              <w:left w:val="nil"/>
              <w:bottom w:val="single" w:color="auto" w:sz="8" w:space="0"/>
              <w:right w:val="single" w:color="auto" w:sz="8" w:space="0"/>
            </w:tcBorders>
            <w:shd w:val="clear" w:color="auto" w:fill="FFFFFF"/>
            <w:vAlign w:val="center"/>
          </w:tcPr>
          <w:p w14:paraId="5C533DD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1.机构名称</w:t>
            </w:r>
          </w:p>
          <w:p w14:paraId="7B26A09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2.负责人信息</w:t>
            </w:r>
          </w:p>
          <w:p w14:paraId="1F33C4F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3.主要职责</w:t>
            </w:r>
          </w:p>
        </w:tc>
        <w:tc>
          <w:tcPr>
            <w:tcW w:w="1894" w:type="dxa"/>
            <w:tcBorders>
              <w:top w:val="nil"/>
              <w:left w:val="nil"/>
              <w:bottom w:val="single" w:color="auto" w:sz="8" w:space="0"/>
              <w:right w:val="single" w:color="auto" w:sz="8" w:space="0"/>
            </w:tcBorders>
            <w:shd w:val="clear" w:color="auto" w:fill="FFFFFF"/>
            <w:vAlign w:val="center"/>
          </w:tcPr>
          <w:p w14:paraId="226ABE9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right="0" w:firstLine="440" w:firstLineChars="20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《中华人民共和国政府信息公开条例》《湖南省实施&lt;中华人民共和国政府信息公开条例&gt;办法》等法律法规规章规范性文件</w:t>
            </w:r>
          </w:p>
        </w:tc>
        <w:tc>
          <w:tcPr>
            <w:tcW w:w="1904" w:type="dxa"/>
            <w:tcBorders>
              <w:top w:val="nil"/>
              <w:left w:val="nil"/>
              <w:bottom w:val="single" w:color="auto" w:sz="8" w:space="0"/>
              <w:right w:val="single" w:color="auto" w:sz="8" w:space="0"/>
            </w:tcBorders>
            <w:shd w:val="clear" w:color="auto" w:fill="FFFFFF"/>
            <w:vAlign w:val="center"/>
          </w:tcPr>
          <w:p w14:paraId="09546C8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信息产生或变更之日起20个工作日内公开，保持长期公开（相关法律法规另有规定的，从其规定）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6F92ACB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tc>
        <w:tc>
          <w:tcPr>
            <w:tcW w:w="810" w:type="dxa"/>
            <w:tcBorders>
              <w:top w:val="nil"/>
              <w:left w:val="nil"/>
              <w:bottom w:val="single" w:color="auto" w:sz="8" w:space="0"/>
              <w:right w:val="single" w:color="auto" w:sz="8" w:space="0"/>
            </w:tcBorders>
            <w:shd w:val="clear" w:color="auto" w:fill="FFFFFF"/>
            <w:vAlign w:val="center"/>
          </w:tcPr>
          <w:p w14:paraId="5126ED9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4B61BF2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2E6EB6A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4DA1964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3B83F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281"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140035A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5</w:t>
            </w:r>
          </w:p>
        </w:tc>
        <w:tc>
          <w:tcPr>
            <w:tcW w:w="950" w:type="dxa"/>
            <w:vMerge w:val="continue"/>
            <w:tcBorders>
              <w:top w:val="nil"/>
              <w:left w:val="nil"/>
              <w:bottom w:val="single" w:color="auto" w:sz="8" w:space="0"/>
              <w:right w:val="single" w:color="auto" w:sz="8" w:space="0"/>
            </w:tcBorders>
            <w:shd w:val="clear" w:color="auto" w:fill="FFFFFF"/>
            <w:vAlign w:val="center"/>
          </w:tcPr>
          <w:p w14:paraId="5EDF75DF">
            <w:pPr>
              <w:jc w:val="center"/>
              <w:rPr>
                <w:rFonts w:hint="eastAsia" w:ascii="宋体" w:hAnsi="宋体" w:eastAsia="宋体" w:cs="宋体"/>
                <w:caps w:val="0"/>
                <w:color w:val="auto"/>
                <w:spacing w:val="0"/>
                <w:sz w:val="18"/>
                <w:szCs w:val="18"/>
              </w:rPr>
            </w:pPr>
          </w:p>
        </w:tc>
        <w:tc>
          <w:tcPr>
            <w:tcW w:w="1876" w:type="dxa"/>
            <w:tcBorders>
              <w:top w:val="nil"/>
              <w:left w:val="nil"/>
              <w:bottom w:val="single" w:color="auto" w:sz="8" w:space="0"/>
              <w:right w:val="single" w:color="auto" w:sz="8" w:space="0"/>
            </w:tcBorders>
            <w:shd w:val="clear" w:color="auto" w:fill="FFFFFF"/>
            <w:vAlign w:val="center"/>
          </w:tcPr>
          <w:p w14:paraId="1B0CE5B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下属单位</w:t>
            </w:r>
          </w:p>
        </w:tc>
        <w:tc>
          <w:tcPr>
            <w:tcW w:w="1814" w:type="dxa"/>
            <w:tcBorders>
              <w:top w:val="nil"/>
              <w:left w:val="nil"/>
              <w:bottom w:val="single" w:color="auto" w:sz="8" w:space="0"/>
              <w:right w:val="single" w:color="auto" w:sz="8" w:space="0"/>
            </w:tcBorders>
            <w:shd w:val="clear" w:color="auto" w:fill="FFFFFF"/>
            <w:vAlign w:val="center"/>
          </w:tcPr>
          <w:p w14:paraId="48E2976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1.单位名称</w:t>
            </w:r>
          </w:p>
          <w:p w14:paraId="3EB16B3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2.负责人信息</w:t>
            </w:r>
          </w:p>
          <w:p w14:paraId="5A4540A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3.主要职责</w:t>
            </w:r>
          </w:p>
        </w:tc>
        <w:tc>
          <w:tcPr>
            <w:tcW w:w="1894" w:type="dxa"/>
            <w:tcBorders>
              <w:top w:val="nil"/>
              <w:left w:val="nil"/>
              <w:bottom w:val="single" w:color="auto" w:sz="8" w:space="0"/>
              <w:right w:val="single" w:color="auto" w:sz="8" w:space="0"/>
            </w:tcBorders>
            <w:shd w:val="clear" w:color="auto" w:fill="FFFFFF"/>
            <w:vAlign w:val="center"/>
          </w:tcPr>
          <w:p w14:paraId="35BB0BC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right="0" w:firstLine="440" w:firstLineChars="20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《中华人民共和国政府信息公开条例》《湖南省实施&lt;中华人民共和国政府信息公开条例&gt;办法》等法律法规规章规范性文件</w:t>
            </w:r>
          </w:p>
        </w:tc>
        <w:tc>
          <w:tcPr>
            <w:tcW w:w="1904" w:type="dxa"/>
            <w:tcBorders>
              <w:top w:val="nil"/>
              <w:left w:val="nil"/>
              <w:bottom w:val="single" w:color="auto" w:sz="8" w:space="0"/>
              <w:right w:val="single" w:color="auto" w:sz="8" w:space="0"/>
            </w:tcBorders>
            <w:shd w:val="clear" w:color="auto" w:fill="FFFFFF"/>
            <w:vAlign w:val="center"/>
          </w:tcPr>
          <w:p w14:paraId="0365568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信息产生或变更之日起20个工作日内公开，保持长期公开（相关法律法规另有规定的，从其规定）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4B15147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tc>
        <w:tc>
          <w:tcPr>
            <w:tcW w:w="810" w:type="dxa"/>
            <w:tcBorders>
              <w:top w:val="nil"/>
              <w:left w:val="nil"/>
              <w:bottom w:val="single" w:color="auto" w:sz="8" w:space="0"/>
              <w:right w:val="single" w:color="auto" w:sz="8" w:space="0"/>
            </w:tcBorders>
            <w:shd w:val="clear" w:color="auto" w:fill="FFFFFF"/>
            <w:vAlign w:val="center"/>
          </w:tcPr>
          <w:p w14:paraId="6412AE5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78EC590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7D42DBA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64BADE2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04FA8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101"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0D18F5B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6</w:t>
            </w:r>
          </w:p>
        </w:tc>
        <w:tc>
          <w:tcPr>
            <w:tcW w:w="950" w:type="dxa"/>
            <w:tcBorders>
              <w:top w:val="nil"/>
              <w:left w:val="nil"/>
              <w:bottom w:val="single" w:color="auto" w:sz="8" w:space="0"/>
              <w:right w:val="single" w:color="auto" w:sz="8" w:space="0"/>
            </w:tcBorders>
            <w:shd w:val="clear" w:color="auto" w:fill="FFFFFF"/>
            <w:vAlign w:val="center"/>
          </w:tcPr>
          <w:p w14:paraId="71C08EF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信息公开</w:t>
            </w:r>
          </w:p>
        </w:tc>
        <w:tc>
          <w:tcPr>
            <w:tcW w:w="1876" w:type="dxa"/>
            <w:tcBorders>
              <w:top w:val="nil"/>
              <w:left w:val="nil"/>
              <w:bottom w:val="single" w:color="auto" w:sz="8" w:space="0"/>
              <w:right w:val="single" w:color="auto" w:sz="8" w:space="0"/>
            </w:tcBorders>
            <w:shd w:val="clear" w:color="auto" w:fill="FFFFFF"/>
            <w:vAlign w:val="center"/>
          </w:tcPr>
          <w:p w14:paraId="2716797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信息公开专栏</w:t>
            </w:r>
          </w:p>
        </w:tc>
        <w:tc>
          <w:tcPr>
            <w:tcW w:w="1814" w:type="dxa"/>
            <w:tcBorders>
              <w:top w:val="nil"/>
              <w:left w:val="nil"/>
              <w:bottom w:val="single" w:color="auto" w:sz="8" w:space="0"/>
              <w:right w:val="single" w:color="auto" w:sz="8" w:space="0"/>
            </w:tcBorders>
            <w:shd w:val="clear" w:color="auto" w:fill="FFFFFF"/>
            <w:vAlign w:val="center"/>
          </w:tcPr>
          <w:p w14:paraId="34337E8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baseline"/>
              <w:rPr>
                <w:i w:val="0"/>
                <w:iCs w:val="0"/>
                <w:color w:val="auto"/>
                <w:u w:val="none"/>
              </w:rPr>
            </w:pPr>
            <w:r>
              <w:rPr>
                <w:rFonts w:hint="eastAsia" w:ascii="宋体" w:hAnsi="宋体" w:eastAsia="宋体" w:cs="宋体"/>
                <w:i w:val="0"/>
                <w:iCs w:val="0"/>
                <w:caps w:val="0"/>
                <w:color w:val="auto"/>
                <w:spacing w:val="0"/>
                <w:sz w:val="22"/>
                <w:szCs w:val="22"/>
                <w:u w:val="none"/>
                <w:vertAlign w:val="baseline"/>
              </w:rPr>
              <w:t>1.信息公开指南</w:t>
            </w:r>
          </w:p>
          <w:p w14:paraId="3889461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baseline"/>
              <w:rPr>
                <w:i w:val="0"/>
                <w:iCs w:val="0"/>
                <w:color w:val="auto"/>
                <w:u w:val="none"/>
              </w:rPr>
            </w:pPr>
            <w:r>
              <w:rPr>
                <w:rFonts w:hint="eastAsia" w:ascii="宋体" w:hAnsi="宋体" w:eastAsia="宋体" w:cs="宋体"/>
                <w:i w:val="0"/>
                <w:iCs w:val="0"/>
                <w:caps w:val="0"/>
                <w:color w:val="auto"/>
                <w:spacing w:val="0"/>
                <w:sz w:val="22"/>
                <w:szCs w:val="22"/>
                <w:u w:val="none"/>
                <w:vertAlign w:val="baseline"/>
              </w:rPr>
              <w:t>2.信息公开制度</w:t>
            </w:r>
          </w:p>
          <w:p w14:paraId="1DF463D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baseline"/>
              <w:rPr>
                <w:i w:val="0"/>
                <w:iCs w:val="0"/>
                <w:color w:val="auto"/>
                <w:u w:val="none"/>
              </w:rPr>
            </w:pPr>
            <w:r>
              <w:rPr>
                <w:rFonts w:hint="eastAsia" w:ascii="宋体" w:hAnsi="宋体" w:eastAsia="宋体" w:cs="宋体"/>
                <w:i w:val="0"/>
                <w:iCs w:val="0"/>
                <w:caps w:val="0"/>
                <w:color w:val="auto"/>
                <w:spacing w:val="0"/>
                <w:sz w:val="22"/>
                <w:szCs w:val="22"/>
                <w:u w:val="none"/>
                <w:vertAlign w:val="baseline"/>
              </w:rPr>
              <w:t>3.法定公开内容</w:t>
            </w:r>
          </w:p>
          <w:p w14:paraId="5DB699B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baseline"/>
              <w:rPr>
                <w:i w:val="0"/>
                <w:iCs w:val="0"/>
                <w:color w:val="auto"/>
                <w:u w:val="none"/>
              </w:rPr>
            </w:pPr>
            <w:r>
              <w:rPr>
                <w:rFonts w:hint="eastAsia" w:ascii="宋体" w:hAnsi="宋体" w:eastAsia="宋体" w:cs="宋体"/>
                <w:i w:val="0"/>
                <w:iCs w:val="0"/>
                <w:caps w:val="0"/>
                <w:color w:val="auto"/>
                <w:spacing w:val="0"/>
                <w:sz w:val="22"/>
                <w:szCs w:val="22"/>
                <w:u w:val="none"/>
                <w:vertAlign w:val="baseline"/>
              </w:rPr>
              <w:t>4.信息公开年报</w:t>
            </w:r>
          </w:p>
          <w:p w14:paraId="426B300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baseline"/>
              <w:rPr>
                <w:i w:val="0"/>
                <w:iCs w:val="0"/>
                <w:color w:val="auto"/>
                <w:u w:val="none"/>
              </w:rPr>
            </w:pPr>
            <w:r>
              <w:rPr>
                <w:rFonts w:hint="eastAsia" w:ascii="宋体" w:hAnsi="宋体" w:eastAsia="宋体" w:cs="宋体"/>
                <w:i w:val="0"/>
                <w:iCs w:val="0"/>
                <w:caps w:val="0"/>
                <w:color w:val="auto"/>
                <w:spacing w:val="0"/>
                <w:sz w:val="22"/>
                <w:szCs w:val="22"/>
                <w:u w:val="none"/>
                <w:vertAlign w:val="baseline"/>
              </w:rPr>
              <w:t>5.信息依申请公开（平台或途径）</w:t>
            </w:r>
          </w:p>
          <w:p w14:paraId="64DC866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baseline"/>
              <w:rPr>
                <w:i w:val="0"/>
                <w:iCs w:val="0"/>
                <w:color w:val="auto"/>
                <w:u w:val="none"/>
              </w:rPr>
            </w:pPr>
            <w:r>
              <w:rPr>
                <w:rFonts w:hint="eastAsia" w:ascii="宋体" w:hAnsi="宋体" w:eastAsia="宋体" w:cs="宋体"/>
                <w:i w:val="0"/>
                <w:iCs w:val="0"/>
                <w:caps w:val="0"/>
                <w:color w:val="auto"/>
                <w:spacing w:val="0"/>
                <w:sz w:val="22"/>
                <w:szCs w:val="22"/>
                <w:u w:val="none"/>
                <w:vertAlign w:val="baseline"/>
              </w:rPr>
              <w:t>6.政务公开事项清单</w:t>
            </w:r>
          </w:p>
        </w:tc>
        <w:tc>
          <w:tcPr>
            <w:tcW w:w="1894" w:type="dxa"/>
            <w:tcBorders>
              <w:top w:val="nil"/>
              <w:left w:val="nil"/>
              <w:bottom w:val="single" w:color="auto" w:sz="8" w:space="0"/>
              <w:right w:val="single" w:color="auto" w:sz="8" w:space="0"/>
            </w:tcBorders>
            <w:shd w:val="clear" w:color="auto" w:fill="FFFFFF"/>
            <w:vAlign w:val="center"/>
          </w:tcPr>
          <w:p w14:paraId="1B592F8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right="0" w:firstLine="440" w:firstLineChars="20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《中华人民共和国政府信息公开条例》《湖南省实施&lt;中华人民共和国政府信息公开条例&gt;办法》等法律法规规章规范性文件</w:t>
            </w:r>
          </w:p>
        </w:tc>
        <w:tc>
          <w:tcPr>
            <w:tcW w:w="1904" w:type="dxa"/>
            <w:tcBorders>
              <w:top w:val="nil"/>
              <w:left w:val="nil"/>
              <w:bottom w:val="single" w:color="auto" w:sz="8" w:space="0"/>
              <w:right w:val="single" w:color="auto" w:sz="8" w:space="0"/>
            </w:tcBorders>
            <w:shd w:val="clear" w:color="auto" w:fill="FFFFFF"/>
            <w:vAlign w:val="center"/>
          </w:tcPr>
          <w:p w14:paraId="1866273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信息产生或变更之日起20个工作日内公开，保持长期公开（相关法律法规另有规定的，从其规定）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26FC763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tc>
        <w:tc>
          <w:tcPr>
            <w:tcW w:w="810" w:type="dxa"/>
            <w:tcBorders>
              <w:top w:val="nil"/>
              <w:left w:val="nil"/>
              <w:bottom w:val="single" w:color="auto" w:sz="8" w:space="0"/>
              <w:right w:val="single" w:color="auto" w:sz="8" w:space="0"/>
            </w:tcBorders>
            <w:shd w:val="clear" w:color="auto" w:fill="FFFFFF"/>
            <w:vAlign w:val="center"/>
          </w:tcPr>
          <w:p w14:paraId="509B4AB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6EFA0AC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3CBCC17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09C6F8D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081DB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996"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5C5B003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7</w:t>
            </w:r>
          </w:p>
        </w:tc>
        <w:tc>
          <w:tcPr>
            <w:tcW w:w="950" w:type="dxa"/>
            <w:tcBorders>
              <w:top w:val="nil"/>
              <w:left w:val="nil"/>
              <w:bottom w:val="single" w:color="auto" w:sz="8" w:space="0"/>
              <w:right w:val="single" w:color="auto" w:sz="8" w:space="0"/>
            </w:tcBorders>
            <w:shd w:val="clear" w:color="auto" w:fill="FFFFFF"/>
            <w:vAlign w:val="center"/>
          </w:tcPr>
          <w:p w14:paraId="5D8AE61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双随机、一公开</w:t>
            </w:r>
          </w:p>
        </w:tc>
        <w:tc>
          <w:tcPr>
            <w:tcW w:w="1876" w:type="dxa"/>
            <w:tcBorders>
              <w:top w:val="nil"/>
              <w:left w:val="nil"/>
              <w:bottom w:val="single" w:color="auto" w:sz="8" w:space="0"/>
              <w:right w:val="single" w:color="auto" w:sz="8" w:space="0"/>
            </w:tcBorders>
            <w:shd w:val="clear" w:color="auto" w:fill="FFFFFF"/>
            <w:vAlign w:val="center"/>
          </w:tcPr>
          <w:p w14:paraId="599C13B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双随机、一公开</w:t>
            </w:r>
          </w:p>
        </w:tc>
        <w:tc>
          <w:tcPr>
            <w:tcW w:w="1814" w:type="dxa"/>
            <w:tcBorders>
              <w:top w:val="nil"/>
              <w:left w:val="nil"/>
              <w:bottom w:val="single" w:color="auto" w:sz="8" w:space="0"/>
              <w:right w:val="single" w:color="auto" w:sz="8" w:space="0"/>
            </w:tcBorders>
            <w:shd w:val="clear" w:color="auto" w:fill="FFFFFF"/>
            <w:vAlign w:val="center"/>
          </w:tcPr>
          <w:p w14:paraId="59813E1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1.抽查事项清单</w:t>
            </w:r>
          </w:p>
          <w:p w14:paraId="046C42F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2.检查对象名录</w:t>
            </w:r>
          </w:p>
          <w:p w14:paraId="6108DC1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3.抽查情况</w:t>
            </w:r>
          </w:p>
          <w:p w14:paraId="3B6F394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4.查处结果</w:t>
            </w:r>
          </w:p>
        </w:tc>
        <w:tc>
          <w:tcPr>
            <w:tcW w:w="1894" w:type="dxa"/>
            <w:tcBorders>
              <w:top w:val="nil"/>
              <w:left w:val="nil"/>
              <w:bottom w:val="single" w:color="auto" w:sz="8" w:space="0"/>
              <w:right w:val="single" w:color="auto" w:sz="8" w:space="0"/>
            </w:tcBorders>
            <w:shd w:val="clear" w:color="auto" w:fill="FFFFFF"/>
            <w:vAlign w:val="center"/>
          </w:tcPr>
          <w:p w14:paraId="03CE336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20" w:firstLineChars="100"/>
              <w:jc w:val="both"/>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《国务院关于在市场监管领域全面推行部门联合“双随机、一公开”监管的意见》和《</w:t>
            </w:r>
            <w:r>
              <w:rPr>
                <w:rFonts w:hint="eastAsia" w:ascii="宋体" w:hAnsi="宋体" w:eastAsia="宋体" w:cs="宋体"/>
                <w:i w:val="0"/>
                <w:iCs w:val="0"/>
                <w:caps w:val="0"/>
                <w:color w:val="auto"/>
                <w:spacing w:val="0"/>
                <w:kern w:val="0"/>
                <w:sz w:val="22"/>
                <w:szCs w:val="22"/>
                <w:u w:val="none"/>
                <w:vertAlign w:val="baseline"/>
                <w:lang w:val="en-US" w:eastAsia="zh-CN" w:bidi="ar"/>
              </w:rPr>
              <w:t>湖南省人民政府办公厅关于全面推行跨部门“双随机、一公开”监管的通知</w:t>
            </w:r>
            <w:r>
              <w:rPr>
                <w:rFonts w:hint="eastAsia" w:ascii="宋体" w:hAnsi="宋体" w:eastAsia="宋体" w:cs="宋体"/>
                <w:i w:val="0"/>
                <w:iCs w:val="0"/>
                <w:caps w:val="0"/>
                <w:color w:val="auto"/>
                <w:spacing w:val="0"/>
                <w:kern w:val="0"/>
                <w:sz w:val="22"/>
                <w:szCs w:val="22"/>
                <w:u w:val="none"/>
                <w:vertAlign w:val="baseline"/>
                <w:lang w:val="en-US" w:eastAsia="zh-CN" w:bidi="ar"/>
              </w:rPr>
              <w:t>》等</w:t>
            </w:r>
          </w:p>
        </w:tc>
        <w:tc>
          <w:tcPr>
            <w:tcW w:w="1904" w:type="dxa"/>
            <w:tcBorders>
              <w:top w:val="nil"/>
              <w:left w:val="nil"/>
              <w:bottom w:val="single" w:color="auto" w:sz="8" w:space="0"/>
              <w:right w:val="single" w:color="auto" w:sz="8" w:space="0"/>
            </w:tcBorders>
            <w:shd w:val="clear" w:color="auto" w:fill="FFFFFF"/>
            <w:vAlign w:val="center"/>
          </w:tcPr>
          <w:p w14:paraId="62D8E38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信息产生或变更之日起20个工作日内公开，保持长期公开（相关法律法规另有规定的，从其规定）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6C7078C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p w14:paraId="075B7B9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baseline"/>
              <w:rPr>
                <w:i w:val="0"/>
                <w:iCs w:val="0"/>
                <w:color w:val="auto"/>
                <w:u w:val="none"/>
              </w:rPr>
            </w:pPr>
            <w:r>
              <w:rPr>
                <w:rFonts w:hint="eastAsia" w:ascii="宋体" w:hAnsi="宋体" w:eastAsia="宋体" w:cs="宋体"/>
                <w:i w:val="0"/>
                <w:iCs w:val="0"/>
                <w:caps w:val="0"/>
                <w:color w:val="auto"/>
                <w:spacing w:val="0"/>
                <w:sz w:val="22"/>
                <w:szCs w:val="22"/>
                <w:u w:val="none"/>
                <w:vertAlign w:val="baseline"/>
                <w:lang w:val="en-US" w:eastAsia="zh-CN"/>
              </w:rPr>
              <w:t xml:space="preserve"> </w:t>
            </w:r>
            <w:r>
              <w:rPr>
                <w:rFonts w:hint="eastAsia" w:ascii="宋体" w:hAnsi="宋体" w:eastAsia="宋体" w:cs="宋体"/>
                <w:i w:val="0"/>
                <w:iCs w:val="0"/>
                <w:caps w:val="0"/>
                <w:color w:val="auto"/>
                <w:spacing w:val="0"/>
                <w:sz w:val="22"/>
                <w:szCs w:val="22"/>
                <w:u w:val="none"/>
                <w:vertAlign w:val="baseline"/>
              </w:rPr>
              <w:t>■</w:t>
            </w:r>
            <w:r>
              <w:rPr>
                <w:rFonts w:hint="eastAsia" w:ascii="宋体" w:hAnsi="宋体" w:eastAsia="宋体" w:cs="宋体"/>
                <w:i w:val="0"/>
                <w:iCs w:val="0"/>
                <w:caps w:val="0"/>
                <w:color w:val="auto"/>
                <w:spacing w:val="0"/>
                <w:sz w:val="22"/>
                <w:szCs w:val="22"/>
                <w:u w:val="none"/>
                <w:vertAlign w:val="baseline"/>
                <w:lang w:val="en-US" w:eastAsia="zh-CN"/>
              </w:rPr>
              <w:t>部门联合“双随机、</w:t>
            </w:r>
            <w:bookmarkStart w:id="0" w:name="_GoBack"/>
            <w:bookmarkEnd w:id="0"/>
            <w:r>
              <w:rPr>
                <w:rFonts w:hint="eastAsia" w:ascii="宋体" w:hAnsi="宋体" w:eastAsia="宋体" w:cs="宋体"/>
                <w:i w:val="0"/>
                <w:iCs w:val="0"/>
                <w:caps w:val="0"/>
                <w:color w:val="auto"/>
                <w:spacing w:val="0"/>
                <w:sz w:val="22"/>
                <w:szCs w:val="22"/>
                <w:u w:val="none"/>
                <w:vertAlign w:val="baseline"/>
                <w:lang w:val="en-US" w:eastAsia="zh-CN"/>
              </w:rPr>
              <w:t>一公开”监管平台</w:t>
            </w:r>
          </w:p>
        </w:tc>
        <w:tc>
          <w:tcPr>
            <w:tcW w:w="810" w:type="dxa"/>
            <w:tcBorders>
              <w:top w:val="nil"/>
              <w:left w:val="nil"/>
              <w:bottom w:val="single" w:color="auto" w:sz="8" w:space="0"/>
              <w:right w:val="single" w:color="auto" w:sz="8" w:space="0"/>
            </w:tcBorders>
            <w:shd w:val="clear" w:color="auto" w:fill="FFFFFF"/>
            <w:vAlign w:val="center"/>
          </w:tcPr>
          <w:p w14:paraId="7D93F66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21B1FD4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7BBF8CA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47657F0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401EB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61"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7057915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8</w:t>
            </w:r>
          </w:p>
        </w:tc>
        <w:tc>
          <w:tcPr>
            <w:tcW w:w="950" w:type="dxa"/>
            <w:tcBorders>
              <w:top w:val="nil"/>
              <w:left w:val="nil"/>
              <w:bottom w:val="single" w:color="auto" w:sz="8" w:space="0"/>
              <w:right w:val="single" w:color="auto" w:sz="8" w:space="0"/>
            </w:tcBorders>
            <w:shd w:val="clear" w:color="auto" w:fill="FFFFFF"/>
            <w:vAlign w:val="center"/>
          </w:tcPr>
          <w:p w14:paraId="4039AEB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建议提案</w:t>
            </w:r>
          </w:p>
        </w:tc>
        <w:tc>
          <w:tcPr>
            <w:tcW w:w="1876" w:type="dxa"/>
            <w:tcBorders>
              <w:top w:val="nil"/>
              <w:left w:val="nil"/>
              <w:bottom w:val="single" w:color="auto" w:sz="8" w:space="0"/>
              <w:right w:val="single" w:color="auto" w:sz="8" w:space="0"/>
            </w:tcBorders>
            <w:shd w:val="clear" w:color="auto" w:fill="FFFFFF"/>
            <w:vAlign w:val="center"/>
          </w:tcPr>
          <w:p w14:paraId="3CE9584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建议提案</w:t>
            </w:r>
          </w:p>
        </w:tc>
        <w:tc>
          <w:tcPr>
            <w:tcW w:w="1814" w:type="dxa"/>
            <w:tcBorders>
              <w:top w:val="nil"/>
              <w:left w:val="nil"/>
              <w:bottom w:val="single" w:color="auto" w:sz="8" w:space="0"/>
              <w:right w:val="single" w:color="auto" w:sz="8" w:space="0"/>
            </w:tcBorders>
            <w:shd w:val="clear" w:color="auto" w:fill="FFFFFF"/>
            <w:vAlign w:val="center"/>
          </w:tcPr>
          <w:p w14:paraId="6B122B2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由本单位主办的可公开的建议提案办理复文</w:t>
            </w:r>
          </w:p>
        </w:tc>
        <w:tc>
          <w:tcPr>
            <w:tcW w:w="1894" w:type="dxa"/>
            <w:tcBorders>
              <w:top w:val="nil"/>
              <w:left w:val="nil"/>
              <w:bottom w:val="single" w:color="auto" w:sz="8" w:space="0"/>
              <w:right w:val="single" w:color="auto" w:sz="8" w:space="0"/>
            </w:tcBorders>
            <w:shd w:val="clear" w:color="auto" w:fill="FFFFFF"/>
            <w:vAlign w:val="center"/>
          </w:tcPr>
          <w:p w14:paraId="5D78844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440" w:firstLineChars="200"/>
              <w:jc w:val="both"/>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《国务院办公厅关于做好全国人大代表建议和全国政协委员提案办理结果公开工作的通知》《</w:t>
            </w:r>
            <w:r>
              <w:rPr>
                <w:rFonts w:hint="eastAsia" w:ascii="宋体" w:hAnsi="宋体" w:eastAsia="宋体" w:cs="宋体"/>
                <w:i w:val="0"/>
                <w:iCs w:val="0"/>
                <w:caps w:val="0"/>
                <w:color w:val="auto"/>
                <w:spacing w:val="0"/>
                <w:kern w:val="0"/>
                <w:sz w:val="22"/>
                <w:szCs w:val="22"/>
                <w:u w:val="none"/>
                <w:vertAlign w:val="baseline"/>
                <w:lang w:val="en-US" w:eastAsia="zh-CN" w:bidi="ar"/>
              </w:rPr>
              <w:t>湖南省人民政府办公厅关于印发&lt;省人大代表建议和省政协提案办理工作规定&gt;的通知》等</w:t>
            </w:r>
          </w:p>
        </w:tc>
        <w:tc>
          <w:tcPr>
            <w:tcW w:w="1904" w:type="dxa"/>
            <w:tcBorders>
              <w:top w:val="nil"/>
              <w:left w:val="nil"/>
              <w:bottom w:val="single" w:color="auto" w:sz="8" w:space="0"/>
              <w:right w:val="single" w:color="auto" w:sz="8" w:space="0"/>
            </w:tcBorders>
            <w:shd w:val="clear" w:color="auto" w:fill="FFFFFF"/>
            <w:vAlign w:val="center"/>
          </w:tcPr>
          <w:p w14:paraId="619ABF6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信息产生或变更之日起20个工作日内公开，保持长期公开（相关法律法规另有规定的，从其规定）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1D1EF09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tc>
        <w:tc>
          <w:tcPr>
            <w:tcW w:w="810" w:type="dxa"/>
            <w:tcBorders>
              <w:top w:val="nil"/>
              <w:left w:val="nil"/>
              <w:bottom w:val="single" w:color="auto" w:sz="8" w:space="0"/>
              <w:right w:val="single" w:color="auto" w:sz="8" w:space="0"/>
            </w:tcBorders>
            <w:shd w:val="clear" w:color="auto" w:fill="FFFFFF"/>
            <w:vAlign w:val="center"/>
          </w:tcPr>
          <w:p w14:paraId="1722E06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6C74586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7CB5DFE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552C833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46B9DE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96"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10848D7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9</w:t>
            </w:r>
          </w:p>
        </w:tc>
        <w:tc>
          <w:tcPr>
            <w:tcW w:w="950" w:type="dxa"/>
            <w:tcBorders>
              <w:top w:val="nil"/>
              <w:left w:val="nil"/>
              <w:bottom w:val="nil"/>
              <w:right w:val="single" w:color="auto" w:sz="8" w:space="0"/>
            </w:tcBorders>
            <w:shd w:val="clear" w:color="auto" w:fill="FFFFFF"/>
            <w:vAlign w:val="center"/>
          </w:tcPr>
          <w:p w14:paraId="4D248F4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政策文件</w:t>
            </w:r>
          </w:p>
        </w:tc>
        <w:tc>
          <w:tcPr>
            <w:tcW w:w="1876" w:type="dxa"/>
            <w:tcBorders>
              <w:top w:val="nil"/>
              <w:left w:val="nil"/>
              <w:bottom w:val="single" w:color="auto" w:sz="8" w:space="0"/>
              <w:right w:val="single" w:color="auto" w:sz="8" w:space="0"/>
            </w:tcBorders>
            <w:shd w:val="clear" w:color="auto" w:fill="FFFFFF"/>
            <w:vAlign w:val="center"/>
          </w:tcPr>
          <w:p w14:paraId="3866594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政策解读</w:t>
            </w:r>
          </w:p>
        </w:tc>
        <w:tc>
          <w:tcPr>
            <w:tcW w:w="1814" w:type="dxa"/>
            <w:tcBorders>
              <w:top w:val="nil"/>
              <w:left w:val="nil"/>
              <w:bottom w:val="single" w:color="auto" w:sz="8" w:space="0"/>
              <w:right w:val="single" w:color="auto" w:sz="8" w:space="0"/>
            </w:tcBorders>
            <w:shd w:val="clear" w:color="auto" w:fill="FFFFFF"/>
            <w:vAlign w:val="center"/>
          </w:tcPr>
          <w:p w14:paraId="07DB97A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对上级或本部门印发的规范性文件的解读材料等信息</w:t>
            </w:r>
          </w:p>
        </w:tc>
        <w:tc>
          <w:tcPr>
            <w:tcW w:w="1894" w:type="dxa"/>
            <w:tcBorders>
              <w:top w:val="nil"/>
              <w:left w:val="nil"/>
              <w:bottom w:val="single" w:color="auto" w:sz="8" w:space="0"/>
              <w:right w:val="single" w:color="auto" w:sz="8" w:space="0"/>
            </w:tcBorders>
            <w:shd w:val="clear" w:color="auto" w:fill="FFFFFF"/>
            <w:vAlign w:val="center"/>
          </w:tcPr>
          <w:p w14:paraId="3DCBE52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left"/>
              <w:textAlignment w:val="baseline"/>
              <w:rPr>
                <w:i w:val="0"/>
                <w:iCs w:val="0"/>
                <w:color w:val="auto"/>
                <w:u w:val="none"/>
              </w:rPr>
            </w:pPr>
            <w:r>
              <w:rPr>
                <w:rFonts w:hint="eastAsia" w:cs="宋体"/>
                <w:b w:val="0"/>
                <w:bCs w:val="0"/>
                <w:i w:val="0"/>
                <w:iCs w:val="0"/>
                <w:caps w:val="0"/>
                <w:color w:val="auto"/>
                <w:spacing w:val="0"/>
                <w:kern w:val="0"/>
                <w:sz w:val="22"/>
                <w:szCs w:val="22"/>
                <w:u w:val="none"/>
                <w:vertAlign w:val="baseline"/>
                <w:lang w:val="en-US" w:eastAsia="zh-CN" w:bidi="ar"/>
              </w:rPr>
              <w:t xml:space="preserve">   </w:t>
            </w:r>
            <w:r>
              <w:rPr>
                <w:rFonts w:hint="eastAsia" w:ascii="宋体" w:hAnsi="宋体" w:eastAsia="宋体" w:cs="宋体"/>
                <w:b w:val="0"/>
                <w:bCs w:val="0"/>
                <w:i w:val="0"/>
                <w:iCs w:val="0"/>
                <w:caps w:val="0"/>
                <w:color w:val="auto"/>
                <w:spacing w:val="0"/>
                <w:kern w:val="0"/>
                <w:sz w:val="22"/>
                <w:szCs w:val="22"/>
                <w:u w:val="none"/>
                <w:vertAlign w:val="baseline"/>
                <w:lang w:val="en-US" w:eastAsia="zh-CN" w:bidi="ar"/>
              </w:rPr>
              <w:t>《国务院办公厅印发&lt;关于全面推进政务公开工作的意见&gt;实施细则的通知》《中共湖南省委办公厅 湖南省人民政府办公厅印发</w:t>
            </w:r>
            <w:r>
              <w:rPr>
                <w:rFonts w:hint="eastAsia" w:cs="宋体"/>
                <w:b w:val="0"/>
                <w:bCs w:val="0"/>
                <w:i w:val="0"/>
                <w:iCs w:val="0"/>
                <w:caps w:val="0"/>
                <w:color w:val="auto"/>
                <w:spacing w:val="0"/>
                <w:kern w:val="0"/>
                <w:sz w:val="22"/>
                <w:szCs w:val="22"/>
                <w:u w:val="none"/>
                <w:vertAlign w:val="baseline"/>
                <w:lang w:val="en-US" w:eastAsia="zh-CN" w:bidi="ar"/>
              </w:rPr>
              <w:t>&lt;</w:t>
            </w:r>
            <w:r>
              <w:rPr>
                <w:rFonts w:hint="eastAsia" w:ascii="宋体" w:hAnsi="宋体" w:eastAsia="宋体" w:cs="宋体"/>
                <w:b w:val="0"/>
                <w:bCs w:val="0"/>
                <w:i w:val="0"/>
                <w:iCs w:val="0"/>
                <w:caps w:val="0"/>
                <w:color w:val="auto"/>
                <w:spacing w:val="0"/>
                <w:kern w:val="0"/>
                <w:sz w:val="22"/>
                <w:szCs w:val="22"/>
                <w:u w:val="none"/>
                <w:vertAlign w:val="baseline"/>
                <w:lang w:val="en-US" w:eastAsia="zh-CN" w:bidi="ar"/>
              </w:rPr>
              <w:t>关于全面推进政务公开工作的实施意见</w:t>
            </w:r>
            <w:r>
              <w:rPr>
                <w:rFonts w:hint="eastAsia" w:cs="宋体"/>
                <w:b w:val="0"/>
                <w:bCs w:val="0"/>
                <w:i w:val="0"/>
                <w:iCs w:val="0"/>
                <w:caps w:val="0"/>
                <w:color w:val="auto"/>
                <w:spacing w:val="0"/>
                <w:kern w:val="0"/>
                <w:sz w:val="22"/>
                <w:szCs w:val="22"/>
                <w:u w:val="none"/>
                <w:vertAlign w:val="baseline"/>
                <w:lang w:val="en-US" w:eastAsia="zh-CN" w:bidi="ar"/>
              </w:rPr>
              <w:t>&gt;</w:t>
            </w:r>
            <w:r>
              <w:rPr>
                <w:rFonts w:hint="eastAsia" w:ascii="宋体" w:hAnsi="宋体" w:eastAsia="宋体" w:cs="宋体"/>
                <w:b w:val="0"/>
                <w:bCs w:val="0"/>
                <w:i w:val="0"/>
                <w:iCs w:val="0"/>
                <w:caps w:val="0"/>
                <w:color w:val="auto"/>
                <w:spacing w:val="0"/>
                <w:kern w:val="0"/>
                <w:sz w:val="22"/>
                <w:szCs w:val="22"/>
                <w:u w:val="none"/>
                <w:vertAlign w:val="baseline"/>
                <w:lang w:val="en-US" w:eastAsia="zh-CN" w:bidi="ar"/>
              </w:rPr>
              <w:t>的通知》等</w:t>
            </w:r>
          </w:p>
        </w:tc>
        <w:tc>
          <w:tcPr>
            <w:tcW w:w="1904" w:type="dxa"/>
            <w:tcBorders>
              <w:top w:val="nil"/>
              <w:left w:val="nil"/>
              <w:bottom w:val="single" w:color="auto" w:sz="8" w:space="0"/>
              <w:right w:val="single" w:color="auto" w:sz="8" w:space="0"/>
            </w:tcBorders>
            <w:shd w:val="clear" w:color="auto" w:fill="FFFFFF"/>
            <w:vAlign w:val="center"/>
          </w:tcPr>
          <w:p w14:paraId="2FD884F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信息产生或变更之日起20个工作日内公开，保持长期公开（相关法律法规另有规定的，从其规定）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426317F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tc>
        <w:tc>
          <w:tcPr>
            <w:tcW w:w="810" w:type="dxa"/>
            <w:tcBorders>
              <w:top w:val="nil"/>
              <w:left w:val="nil"/>
              <w:bottom w:val="single" w:color="auto" w:sz="8" w:space="0"/>
              <w:right w:val="single" w:color="auto" w:sz="8" w:space="0"/>
            </w:tcBorders>
            <w:shd w:val="clear" w:color="auto" w:fill="FFFFFF"/>
            <w:vAlign w:val="center"/>
          </w:tcPr>
          <w:p w14:paraId="1FB8134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6A01AF9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5704382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126DA53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28DFF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996"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2792F9C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10</w:t>
            </w:r>
          </w:p>
        </w:tc>
        <w:tc>
          <w:tcPr>
            <w:tcW w:w="950" w:type="dxa"/>
            <w:tcBorders>
              <w:top w:val="single" w:color="auto" w:sz="8" w:space="0"/>
              <w:left w:val="nil"/>
              <w:bottom w:val="single" w:color="auto" w:sz="8" w:space="0"/>
              <w:right w:val="single" w:color="auto" w:sz="8" w:space="0"/>
            </w:tcBorders>
            <w:shd w:val="clear" w:color="auto" w:fill="FFFFFF"/>
            <w:vAlign w:val="center"/>
          </w:tcPr>
          <w:p w14:paraId="5ACD5F4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1876" w:type="dxa"/>
            <w:tcBorders>
              <w:top w:val="nil"/>
              <w:left w:val="nil"/>
              <w:bottom w:val="single" w:color="auto" w:sz="8" w:space="0"/>
              <w:right w:val="single" w:color="auto" w:sz="8" w:space="0"/>
            </w:tcBorders>
            <w:shd w:val="clear" w:color="auto" w:fill="FFFFFF"/>
            <w:vAlign w:val="center"/>
          </w:tcPr>
          <w:p w14:paraId="2972D08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行业部门文件</w:t>
            </w:r>
          </w:p>
        </w:tc>
        <w:tc>
          <w:tcPr>
            <w:tcW w:w="1814" w:type="dxa"/>
            <w:tcBorders>
              <w:top w:val="nil"/>
              <w:left w:val="nil"/>
              <w:bottom w:val="single" w:color="auto" w:sz="8" w:space="0"/>
              <w:right w:val="single" w:color="auto" w:sz="8" w:space="0"/>
            </w:tcBorders>
            <w:shd w:val="clear" w:color="auto" w:fill="FFFFFF"/>
            <w:vAlign w:val="center"/>
          </w:tcPr>
          <w:p w14:paraId="609C490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以省委省政府、市委市政府、上级行业主管部门名义印发的规范性文件或其他政策文件</w:t>
            </w:r>
          </w:p>
        </w:tc>
        <w:tc>
          <w:tcPr>
            <w:tcW w:w="1894" w:type="dxa"/>
            <w:tcBorders>
              <w:top w:val="nil"/>
              <w:left w:val="nil"/>
              <w:bottom w:val="single" w:color="auto" w:sz="8" w:space="0"/>
              <w:right w:val="single" w:color="auto" w:sz="8" w:space="0"/>
            </w:tcBorders>
            <w:shd w:val="clear" w:color="auto" w:fill="FFFFFF"/>
            <w:vAlign w:val="center"/>
          </w:tcPr>
          <w:p w14:paraId="5435AD4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firstLineChars="20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《国务院办公厅印发&lt;关于全面推进政务公开工作的意见&gt;实施细则的通知》</w:t>
            </w:r>
            <w:r>
              <w:rPr>
                <w:rFonts w:hint="eastAsia" w:ascii="宋体" w:hAnsi="宋体" w:eastAsia="宋体" w:cs="宋体"/>
                <w:b w:val="0"/>
                <w:bCs w:val="0"/>
                <w:i w:val="0"/>
                <w:iCs w:val="0"/>
                <w:caps w:val="0"/>
                <w:color w:val="auto"/>
                <w:spacing w:val="0"/>
                <w:kern w:val="0"/>
                <w:sz w:val="22"/>
                <w:szCs w:val="22"/>
                <w:u w:val="none"/>
                <w:vertAlign w:val="baseline"/>
                <w:lang w:val="en-US" w:eastAsia="zh-CN" w:bidi="ar"/>
              </w:rPr>
              <w:t>《中共湖南省委办公厅 湖南省人民政府办公厅印发</w:t>
            </w:r>
            <w:r>
              <w:rPr>
                <w:rFonts w:hint="eastAsia" w:cs="宋体"/>
                <w:b w:val="0"/>
                <w:bCs w:val="0"/>
                <w:i w:val="0"/>
                <w:iCs w:val="0"/>
                <w:caps w:val="0"/>
                <w:color w:val="auto"/>
                <w:spacing w:val="0"/>
                <w:kern w:val="0"/>
                <w:sz w:val="22"/>
                <w:szCs w:val="22"/>
                <w:u w:val="none"/>
                <w:vertAlign w:val="baseline"/>
                <w:lang w:val="en-US" w:eastAsia="zh-CN" w:bidi="ar"/>
              </w:rPr>
              <w:t>&lt;</w:t>
            </w:r>
            <w:r>
              <w:rPr>
                <w:rFonts w:hint="eastAsia" w:ascii="宋体" w:hAnsi="宋体" w:eastAsia="宋体" w:cs="宋体"/>
                <w:b w:val="0"/>
                <w:bCs w:val="0"/>
                <w:i w:val="0"/>
                <w:iCs w:val="0"/>
                <w:caps w:val="0"/>
                <w:color w:val="auto"/>
                <w:spacing w:val="0"/>
                <w:kern w:val="0"/>
                <w:sz w:val="22"/>
                <w:szCs w:val="22"/>
                <w:u w:val="none"/>
                <w:vertAlign w:val="baseline"/>
                <w:lang w:val="en-US" w:eastAsia="zh-CN" w:bidi="ar"/>
              </w:rPr>
              <w:t>关于全面推进政务公开工作的实施意见</w:t>
            </w:r>
            <w:r>
              <w:rPr>
                <w:rFonts w:hint="eastAsia" w:cs="宋体"/>
                <w:b w:val="0"/>
                <w:bCs w:val="0"/>
                <w:i w:val="0"/>
                <w:iCs w:val="0"/>
                <w:caps w:val="0"/>
                <w:color w:val="auto"/>
                <w:spacing w:val="0"/>
                <w:kern w:val="0"/>
                <w:sz w:val="22"/>
                <w:szCs w:val="22"/>
                <w:u w:val="none"/>
                <w:vertAlign w:val="baseline"/>
                <w:lang w:val="en-US" w:eastAsia="zh-CN" w:bidi="ar"/>
              </w:rPr>
              <w:t>&gt;</w:t>
            </w:r>
            <w:r>
              <w:rPr>
                <w:rFonts w:hint="eastAsia" w:ascii="宋体" w:hAnsi="宋体" w:eastAsia="宋体" w:cs="宋体"/>
                <w:b w:val="0"/>
                <w:bCs w:val="0"/>
                <w:i w:val="0"/>
                <w:iCs w:val="0"/>
                <w:caps w:val="0"/>
                <w:color w:val="auto"/>
                <w:spacing w:val="0"/>
                <w:kern w:val="0"/>
                <w:sz w:val="22"/>
                <w:szCs w:val="22"/>
                <w:u w:val="none"/>
                <w:vertAlign w:val="baseline"/>
                <w:lang w:val="en-US" w:eastAsia="zh-CN" w:bidi="ar"/>
              </w:rPr>
              <w:t>的通知》</w:t>
            </w:r>
            <w:r>
              <w:rPr>
                <w:rFonts w:hint="eastAsia" w:ascii="宋体" w:hAnsi="宋体" w:eastAsia="宋体" w:cs="宋体"/>
                <w:i w:val="0"/>
                <w:iCs w:val="0"/>
                <w:caps w:val="0"/>
                <w:color w:val="auto"/>
                <w:spacing w:val="0"/>
                <w:kern w:val="0"/>
                <w:sz w:val="22"/>
                <w:szCs w:val="22"/>
                <w:u w:val="none"/>
                <w:vertAlign w:val="baseline"/>
                <w:lang w:val="en-US" w:eastAsia="zh-CN" w:bidi="ar"/>
              </w:rPr>
              <w:t>《湖南省规范性文件管理办法》等</w:t>
            </w:r>
          </w:p>
        </w:tc>
        <w:tc>
          <w:tcPr>
            <w:tcW w:w="1904" w:type="dxa"/>
            <w:tcBorders>
              <w:top w:val="nil"/>
              <w:left w:val="nil"/>
              <w:bottom w:val="single" w:color="auto" w:sz="8" w:space="0"/>
              <w:right w:val="single" w:color="auto" w:sz="8" w:space="0"/>
            </w:tcBorders>
            <w:shd w:val="clear" w:color="auto" w:fill="FFFFFF"/>
            <w:vAlign w:val="center"/>
          </w:tcPr>
          <w:p w14:paraId="072E234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信息产生或变更之日起20个工作日内公开，保持长期公开（相关法律法规另有规定的，从其规定）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1344D36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tc>
        <w:tc>
          <w:tcPr>
            <w:tcW w:w="810" w:type="dxa"/>
            <w:tcBorders>
              <w:top w:val="nil"/>
              <w:left w:val="nil"/>
              <w:bottom w:val="single" w:color="auto" w:sz="8" w:space="0"/>
              <w:right w:val="single" w:color="auto" w:sz="8" w:space="0"/>
            </w:tcBorders>
            <w:shd w:val="clear" w:color="auto" w:fill="FFFFFF"/>
            <w:vAlign w:val="center"/>
          </w:tcPr>
          <w:p w14:paraId="7A06EA9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2FB09F6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242899C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19B263C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1277F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996"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418AAE8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11</w:t>
            </w:r>
          </w:p>
        </w:tc>
        <w:tc>
          <w:tcPr>
            <w:tcW w:w="950" w:type="dxa"/>
            <w:tcBorders>
              <w:top w:val="nil"/>
              <w:left w:val="nil"/>
              <w:bottom w:val="single" w:color="auto" w:sz="8" w:space="0"/>
              <w:right w:val="single" w:color="auto" w:sz="8" w:space="0"/>
            </w:tcBorders>
            <w:shd w:val="clear" w:color="auto" w:fill="FFFFFF"/>
            <w:vAlign w:val="center"/>
          </w:tcPr>
          <w:p w14:paraId="4B0B1A7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政民互动</w:t>
            </w:r>
          </w:p>
        </w:tc>
        <w:tc>
          <w:tcPr>
            <w:tcW w:w="1876" w:type="dxa"/>
            <w:tcBorders>
              <w:top w:val="nil"/>
              <w:left w:val="nil"/>
              <w:bottom w:val="single" w:color="auto" w:sz="8" w:space="0"/>
              <w:right w:val="single" w:color="auto" w:sz="8" w:space="0"/>
            </w:tcBorders>
            <w:shd w:val="clear" w:color="auto" w:fill="FFFFFF"/>
            <w:vAlign w:val="center"/>
          </w:tcPr>
          <w:p w14:paraId="04EDCA6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回应关切</w:t>
            </w:r>
          </w:p>
        </w:tc>
        <w:tc>
          <w:tcPr>
            <w:tcW w:w="1814" w:type="dxa"/>
            <w:tcBorders>
              <w:top w:val="nil"/>
              <w:left w:val="nil"/>
              <w:bottom w:val="single" w:color="auto" w:sz="8" w:space="0"/>
              <w:right w:val="single" w:color="auto" w:sz="8" w:space="0"/>
            </w:tcBorders>
            <w:shd w:val="clear" w:color="auto" w:fill="FFFFFF"/>
            <w:vAlign w:val="center"/>
          </w:tcPr>
          <w:p w14:paraId="5C67317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针对涉及本部门本行业的热点舆情发布的回应信息</w:t>
            </w:r>
          </w:p>
        </w:tc>
        <w:tc>
          <w:tcPr>
            <w:tcW w:w="1894" w:type="dxa"/>
            <w:tcBorders>
              <w:top w:val="nil"/>
              <w:left w:val="nil"/>
              <w:bottom w:val="single" w:color="auto" w:sz="8" w:space="0"/>
              <w:right w:val="single" w:color="auto" w:sz="8" w:space="0"/>
            </w:tcBorders>
            <w:shd w:val="clear" w:color="auto" w:fill="FFFFFF"/>
            <w:vAlign w:val="center"/>
          </w:tcPr>
          <w:p w14:paraId="44A0873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firstLineChars="20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《国务院办公厅印发&lt;关于全面推进政务公开工作的意见&gt;实施细则的通知》《国务院办公厅关于在政务公开工作中进一步做好政务舆情回应的通知》等</w:t>
            </w:r>
          </w:p>
        </w:tc>
        <w:tc>
          <w:tcPr>
            <w:tcW w:w="1904" w:type="dxa"/>
            <w:tcBorders>
              <w:top w:val="nil"/>
              <w:left w:val="nil"/>
              <w:bottom w:val="single" w:color="auto" w:sz="8" w:space="0"/>
              <w:right w:val="single" w:color="auto" w:sz="8" w:space="0"/>
            </w:tcBorders>
            <w:shd w:val="clear" w:color="auto" w:fill="FFFFFF"/>
            <w:vAlign w:val="center"/>
          </w:tcPr>
          <w:p w14:paraId="653105E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及时公开</w:t>
            </w:r>
          </w:p>
        </w:tc>
        <w:tc>
          <w:tcPr>
            <w:tcW w:w="1938" w:type="dxa"/>
            <w:tcBorders>
              <w:top w:val="nil"/>
              <w:left w:val="nil"/>
              <w:bottom w:val="single" w:color="auto" w:sz="8" w:space="0"/>
              <w:right w:val="single" w:color="auto" w:sz="8" w:space="0"/>
            </w:tcBorders>
            <w:shd w:val="clear" w:color="auto" w:fill="FFFFFF"/>
            <w:vAlign w:val="center"/>
          </w:tcPr>
          <w:p w14:paraId="47488CF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tc>
        <w:tc>
          <w:tcPr>
            <w:tcW w:w="810" w:type="dxa"/>
            <w:tcBorders>
              <w:top w:val="nil"/>
              <w:left w:val="nil"/>
              <w:bottom w:val="single" w:color="auto" w:sz="8" w:space="0"/>
              <w:right w:val="single" w:color="auto" w:sz="8" w:space="0"/>
            </w:tcBorders>
            <w:shd w:val="clear" w:color="auto" w:fill="FFFFFF"/>
            <w:vAlign w:val="center"/>
          </w:tcPr>
          <w:p w14:paraId="1BE9CC8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2BB62C7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063F9A8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476ED4C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3E8BA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996"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1F62DDE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12</w:t>
            </w:r>
          </w:p>
        </w:tc>
        <w:tc>
          <w:tcPr>
            <w:tcW w:w="950" w:type="dxa"/>
            <w:tcBorders>
              <w:top w:val="nil"/>
              <w:left w:val="nil"/>
              <w:bottom w:val="single" w:color="auto" w:sz="8" w:space="0"/>
              <w:right w:val="single" w:color="auto" w:sz="8" w:space="0"/>
            </w:tcBorders>
            <w:shd w:val="clear" w:color="auto" w:fill="FFFFFF"/>
            <w:vAlign w:val="center"/>
          </w:tcPr>
          <w:p w14:paraId="46AB3DF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重点领域信息</w:t>
            </w:r>
          </w:p>
        </w:tc>
        <w:tc>
          <w:tcPr>
            <w:tcW w:w="1876" w:type="dxa"/>
            <w:tcBorders>
              <w:top w:val="nil"/>
              <w:left w:val="nil"/>
              <w:bottom w:val="single" w:color="auto" w:sz="8" w:space="0"/>
              <w:right w:val="single" w:color="auto" w:sz="8" w:space="0"/>
            </w:tcBorders>
            <w:shd w:val="clear" w:color="auto" w:fill="FFFFFF"/>
            <w:vAlign w:val="center"/>
          </w:tcPr>
          <w:p w14:paraId="626265C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权责清单</w:t>
            </w:r>
          </w:p>
        </w:tc>
        <w:tc>
          <w:tcPr>
            <w:tcW w:w="1814" w:type="dxa"/>
            <w:tcBorders>
              <w:top w:val="nil"/>
              <w:left w:val="nil"/>
              <w:bottom w:val="single" w:color="auto" w:sz="8" w:space="0"/>
              <w:right w:val="single" w:color="auto" w:sz="8" w:space="0"/>
            </w:tcBorders>
            <w:shd w:val="clear" w:color="auto" w:fill="FFFFFF"/>
            <w:vAlign w:val="center"/>
          </w:tcPr>
          <w:p w14:paraId="615201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1.经相关部门核定的权力和责任清单</w:t>
            </w:r>
          </w:p>
          <w:p w14:paraId="4277E8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2.权力运行流程图</w:t>
            </w:r>
          </w:p>
        </w:tc>
        <w:tc>
          <w:tcPr>
            <w:tcW w:w="1894" w:type="dxa"/>
            <w:tcBorders>
              <w:top w:val="nil"/>
              <w:left w:val="nil"/>
              <w:bottom w:val="single" w:color="auto" w:sz="8" w:space="0"/>
              <w:right w:val="single" w:color="auto" w:sz="8" w:space="0"/>
            </w:tcBorders>
            <w:shd w:val="clear" w:color="auto" w:fill="FFFFFF"/>
            <w:vAlign w:val="center"/>
          </w:tcPr>
          <w:p w14:paraId="7B1A1FF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right="0" w:firstLine="440" w:firstLineChars="20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《中华人民共和国政府信息公开条例》《湖南省实施&lt;中华人民共和国政府信息公开条例&gt;办法》等法律法规规章规范性文件</w:t>
            </w:r>
          </w:p>
        </w:tc>
        <w:tc>
          <w:tcPr>
            <w:tcW w:w="1904" w:type="dxa"/>
            <w:tcBorders>
              <w:top w:val="nil"/>
              <w:left w:val="nil"/>
              <w:bottom w:val="single" w:color="auto" w:sz="8" w:space="0"/>
              <w:right w:val="single" w:color="auto" w:sz="8" w:space="0"/>
            </w:tcBorders>
            <w:shd w:val="clear" w:color="auto" w:fill="FFFFFF"/>
            <w:vAlign w:val="center"/>
          </w:tcPr>
          <w:p w14:paraId="4539CD3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信息产生或变更之日起20个工作日内公开，保持长期公开（相关法律法规另有规定的，从其规定）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7D51265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tc>
        <w:tc>
          <w:tcPr>
            <w:tcW w:w="810" w:type="dxa"/>
            <w:tcBorders>
              <w:top w:val="nil"/>
              <w:left w:val="nil"/>
              <w:bottom w:val="single" w:color="auto" w:sz="8" w:space="0"/>
              <w:right w:val="single" w:color="auto" w:sz="8" w:space="0"/>
            </w:tcBorders>
            <w:shd w:val="clear" w:color="auto" w:fill="FFFFFF"/>
            <w:vAlign w:val="center"/>
          </w:tcPr>
          <w:p w14:paraId="3AD5611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09CC4DE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61DA8FD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21448F3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1D009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71"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7D0530D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13</w:t>
            </w:r>
          </w:p>
        </w:tc>
        <w:tc>
          <w:tcPr>
            <w:tcW w:w="950" w:type="dxa"/>
            <w:tcBorders>
              <w:top w:val="nil"/>
              <w:left w:val="nil"/>
              <w:bottom w:val="single" w:color="auto" w:sz="8" w:space="0"/>
              <w:right w:val="single" w:color="auto" w:sz="8" w:space="0"/>
            </w:tcBorders>
            <w:shd w:val="clear" w:color="auto" w:fill="FFFFFF"/>
            <w:vAlign w:val="center"/>
          </w:tcPr>
          <w:p w14:paraId="3C7E4B5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1876" w:type="dxa"/>
            <w:tcBorders>
              <w:top w:val="nil"/>
              <w:left w:val="nil"/>
              <w:bottom w:val="single" w:color="auto" w:sz="8" w:space="0"/>
              <w:right w:val="single" w:color="auto" w:sz="8" w:space="0"/>
            </w:tcBorders>
            <w:shd w:val="clear" w:color="auto" w:fill="FFFFFF"/>
            <w:vAlign w:val="center"/>
          </w:tcPr>
          <w:p w14:paraId="5B8C0F8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财政资金</w:t>
            </w:r>
          </w:p>
        </w:tc>
        <w:tc>
          <w:tcPr>
            <w:tcW w:w="1814" w:type="dxa"/>
            <w:tcBorders>
              <w:top w:val="nil"/>
              <w:left w:val="nil"/>
              <w:bottom w:val="single" w:color="auto" w:sz="8" w:space="0"/>
              <w:right w:val="single" w:color="auto" w:sz="8" w:space="0"/>
            </w:tcBorders>
            <w:shd w:val="clear" w:color="auto" w:fill="FFFFFF"/>
            <w:vAlign w:val="center"/>
          </w:tcPr>
          <w:p w14:paraId="4EAE57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财政预决算报告（包括但不限于以下2项内容）：</w:t>
            </w:r>
          </w:p>
          <w:p w14:paraId="34588D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（1）“三公”经费信息</w:t>
            </w:r>
          </w:p>
          <w:p w14:paraId="558351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（2）政府采购信息</w:t>
            </w:r>
          </w:p>
        </w:tc>
        <w:tc>
          <w:tcPr>
            <w:tcW w:w="1894" w:type="dxa"/>
            <w:tcBorders>
              <w:top w:val="nil"/>
              <w:left w:val="nil"/>
              <w:bottom w:val="single" w:color="auto" w:sz="8" w:space="0"/>
              <w:right w:val="single" w:color="auto" w:sz="8" w:space="0"/>
            </w:tcBorders>
            <w:shd w:val="clear" w:color="auto" w:fill="FFFFFF"/>
            <w:vAlign w:val="center"/>
          </w:tcPr>
          <w:p w14:paraId="20F254B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right="0" w:firstLine="440" w:firstLineChars="20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《中华人民共和国政府信息公开条例》《湖南省实施&lt;中华人民共和国政府信息公开条例&gt;办法》等法律法规规章规范性文件</w:t>
            </w:r>
          </w:p>
        </w:tc>
        <w:tc>
          <w:tcPr>
            <w:tcW w:w="1904" w:type="dxa"/>
            <w:tcBorders>
              <w:top w:val="nil"/>
              <w:left w:val="nil"/>
              <w:bottom w:val="single" w:color="auto" w:sz="8" w:space="0"/>
              <w:right w:val="single" w:color="auto" w:sz="8" w:space="0"/>
            </w:tcBorders>
            <w:shd w:val="clear" w:color="auto" w:fill="FFFFFF"/>
            <w:vAlign w:val="center"/>
          </w:tcPr>
          <w:p w14:paraId="2F4C3A9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firstLineChars="20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信息产生或变更之日起20个工作日内公开，保持长期公开（相关法律法规另有规定的，从其规定）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0FAEBFF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tc>
        <w:tc>
          <w:tcPr>
            <w:tcW w:w="810" w:type="dxa"/>
            <w:tcBorders>
              <w:top w:val="nil"/>
              <w:left w:val="nil"/>
              <w:bottom w:val="single" w:color="auto" w:sz="8" w:space="0"/>
              <w:right w:val="single" w:color="auto" w:sz="8" w:space="0"/>
            </w:tcBorders>
            <w:shd w:val="clear" w:color="auto" w:fill="FFFFFF"/>
            <w:vAlign w:val="center"/>
          </w:tcPr>
          <w:p w14:paraId="788E12B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721375D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17D7871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01A59F9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62FE4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1"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17781B5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14</w:t>
            </w:r>
          </w:p>
        </w:tc>
        <w:tc>
          <w:tcPr>
            <w:tcW w:w="950" w:type="dxa"/>
            <w:tcBorders>
              <w:top w:val="nil"/>
              <w:left w:val="nil"/>
              <w:bottom w:val="single" w:color="auto" w:sz="8" w:space="0"/>
              <w:right w:val="single" w:color="auto" w:sz="8" w:space="0"/>
            </w:tcBorders>
            <w:shd w:val="clear" w:color="auto" w:fill="FFFFFF"/>
            <w:vAlign w:val="center"/>
          </w:tcPr>
          <w:p w14:paraId="5BE4C23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事项办理</w:t>
            </w:r>
            <w:r>
              <w:rPr>
                <w:rFonts w:hint="eastAsia" w:ascii="宋体" w:hAnsi="宋体" w:eastAsia="宋体" w:cs="宋体"/>
                <w:i w:val="0"/>
                <w:iCs w:val="0"/>
                <w:caps w:val="0"/>
                <w:color w:val="auto"/>
                <w:spacing w:val="0"/>
                <w:kern w:val="0"/>
                <w:sz w:val="22"/>
                <w:szCs w:val="22"/>
                <w:u w:val="none"/>
                <w:vertAlign w:val="baseline"/>
                <w:lang w:val="en-US" w:eastAsia="zh-CN" w:bidi="ar"/>
              </w:rPr>
              <w:br w:type="textWrapping"/>
            </w:r>
            <w:r>
              <w:rPr>
                <w:rFonts w:hint="eastAsia" w:ascii="宋体" w:hAnsi="宋体" w:eastAsia="宋体" w:cs="宋体"/>
                <w:i w:val="0"/>
                <w:iCs w:val="0"/>
                <w:caps w:val="0"/>
                <w:color w:val="auto"/>
                <w:spacing w:val="0"/>
                <w:kern w:val="0"/>
                <w:sz w:val="22"/>
                <w:szCs w:val="22"/>
                <w:u w:val="none"/>
                <w:vertAlign w:val="baseline"/>
                <w:lang w:val="en-US" w:eastAsia="zh-CN" w:bidi="ar"/>
              </w:rPr>
              <w:t>（行政许可）</w:t>
            </w:r>
          </w:p>
        </w:tc>
        <w:tc>
          <w:tcPr>
            <w:tcW w:w="1876" w:type="dxa"/>
            <w:tcBorders>
              <w:top w:val="nil"/>
              <w:left w:val="nil"/>
              <w:bottom w:val="single" w:color="auto" w:sz="8" w:space="0"/>
              <w:right w:val="single" w:color="auto" w:sz="8" w:space="0"/>
            </w:tcBorders>
            <w:shd w:val="clear" w:color="auto" w:fill="FFFFFF"/>
            <w:vAlign w:val="center"/>
          </w:tcPr>
          <w:p w14:paraId="3A4F384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共6项）1、公路建设项目施工许可。2、公路水运工程建设项目文件审批。3、城市公共交通线路运营特许经营许可。4、汽车租赁经营许可。5、网络预约出租汽车车辆运营证核发6、巡游出租汽车车辆运营证核发。7、巡游出租汽车经营许可。</w:t>
            </w:r>
          </w:p>
        </w:tc>
        <w:tc>
          <w:tcPr>
            <w:tcW w:w="1814" w:type="dxa"/>
            <w:tcBorders>
              <w:top w:val="nil"/>
              <w:left w:val="nil"/>
              <w:bottom w:val="single" w:color="auto" w:sz="8" w:space="0"/>
              <w:right w:val="single" w:color="auto" w:sz="8" w:space="0"/>
            </w:tcBorders>
            <w:shd w:val="clear" w:color="auto" w:fill="FFFFFF"/>
            <w:vAlign w:val="center"/>
          </w:tcPr>
          <w:p w14:paraId="7EC4BA1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每类事项的基本信息、受理条件、设定依据、办理流程、常见问题、收费标准、办理材料目录、办理结果样本</w:t>
            </w:r>
          </w:p>
        </w:tc>
        <w:tc>
          <w:tcPr>
            <w:tcW w:w="1894" w:type="dxa"/>
            <w:tcBorders>
              <w:top w:val="nil"/>
              <w:left w:val="nil"/>
              <w:bottom w:val="single" w:color="auto" w:sz="8" w:space="0"/>
              <w:right w:val="single" w:color="auto" w:sz="8" w:space="0"/>
            </w:tcBorders>
            <w:shd w:val="clear" w:color="auto" w:fill="FFFFFF"/>
            <w:vAlign w:val="center"/>
          </w:tcPr>
          <w:p w14:paraId="6198DE4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right="0" w:firstLine="440" w:firstLineChars="20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《中华人民共和国行政许可法》《中华人民共和国政府信息公开条例》《湖南省社会信用体系建设工作要点》等</w:t>
            </w:r>
          </w:p>
        </w:tc>
        <w:tc>
          <w:tcPr>
            <w:tcW w:w="1904" w:type="dxa"/>
            <w:tcBorders>
              <w:top w:val="nil"/>
              <w:left w:val="nil"/>
              <w:bottom w:val="single" w:color="auto" w:sz="8" w:space="0"/>
              <w:right w:val="single" w:color="auto" w:sz="8" w:space="0"/>
            </w:tcBorders>
            <w:shd w:val="clear" w:color="auto" w:fill="FFFFFF"/>
            <w:vAlign w:val="center"/>
          </w:tcPr>
          <w:p w14:paraId="2AA60F7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right="0" w:firstLine="440" w:firstLineChars="20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执法决定信息在决定作出之日起7个工作日内公开，其他相关信息形成或变更之日起20个工作日内公开（相关法律法规另有规定的，从其规定）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2B697FC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p w14:paraId="11A04F0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■信用中国（湖南邵阳）</w:t>
            </w:r>
          </w:p>
        </w:tc>
        <w:tc>
          <w:tcPr>
            <w:tcW w:w="810" w:type="dxa"/>
            <w:tcBorders>
              <w:top w:val="nil"/>
              <w:left w:val="nil"/>
              <w:bottom w:val="single" w:color="auto" w:sz="8" w:space="0"/>
              <w:right w:val="single" w:color="auto" w:sz="8" w:space="0"/>
            </w:tcBorders>
            <w:shd w:val="clear" w:color="auto" w:fill="FFFFFF"/>
            <w:vAlign w:val="center"/>
          </w:tcPr>
          <w:p w14:paraId="43CBE49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2E13E80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43D7902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3CD1464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6DA33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7792E54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15</w:t>
            </w:r>
          </w:p>
        </w:tc>
        <w:tc>
          <w:tcPr>
            <w:tcW w:w="950" w:type="dxa"/>
            <w:tcBorders>
              <w:top w:val="nil"/>
              <w:left w:val="nil"/>
              <w:bottom w:val="single" w:color="auto" w:sz="8" w:space="0"/>
              <w:right w:val="single" w:color="auto" w:sz="8" w:space="0"/>
            </w:tcBorders>
            <w:shd w:val="clear" w:color="auto" w:fill="FFFFFF"/>
            <w:vAlign w:val="center"/>
          </w:tcPr>
          <w:p w14:paraId="09A454F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事项办理</w:t>
            </w:r>
          </w:p>
          <w:p w14:paraId="0EBC07D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（行政处罚）</w:t>
            </w:r>
          </w:p>
        </w:tc>
        <w:tc>
          <w:tcPr>
            <w:tcW w:w="1876" w:type="dxa"/>
            <w:tcBorders>
              <w:top w:val="nil"/>
              <w:left w:val="nil"/>
              <w:bottom w:val="single" w:color="auto" w:sz="8" w:space="0"/>
              <w:right w:val="single" w:color="auto" w:sz="8" w:space="0"/>
            </w:tcBorders>
            <w:shd w:val="clear" w:color="auto" w:fill="FFFFFF"/>
            <w:vAlign w:val="center"/>
          </w:tcPr>
          <w:p w14:paraId="6BB2374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共124项）：1、违反本规定，从事机动车维修经营业务，未按规定进行备案的。2、机动车维修经营者使用假冒伪劣配件维修机动车，承修已报废的机动车或者擅自改装机动车的，由县级以上道路运输管理机构责令改正，并没收假冒伪劣配件及报废车辆；有违法所得的，没收违法所得，处违法所得2倍以上10倍以下的罚款；没有违法所得或者违法所得不足1万元的，处2万元以上5万元以下的罚款，没收假冒伪劣配件及报废车辆；情节严重的，由原许可机关吊销其经营许可；构成犯罪的，依法追究刑事责任。3、机动车维修经营者签发虚假或者不签发机动车维修竣工出厂合格证的，由县级以上道路运输管理机构责令改正；有违法所得的，没收违法所得，处以违法所得2倍以上10倍以下的罚款；没有违法所得或者违法所得不足3000元的，处以5000元以上2万元以下的罚款；情节严重的，由许可机关吊销其经营许可；构成犯罪的，依法追究刑事责任。4、机动车维修经营者未按照规定执行机动车维修质量保证期制度的；机动车维修经营者未按照有关技术规范进行维修作业的；伪造、转借、倒卖机动车维修竣工出厂合格证的；机动车维修经营者只收费不维修或者虚列维修作业项目的；机动车维修经营者未在经营场所醒目位置悬挂机动车维修经营许可证件和机动车维修标志牌的；机动车维修经营者未在经营场所公布收费项目、工时定额和工时单价的；机动车维修经营者超出公布的结算工时定额、结算工时单价向托修方收费的；机动车维修经营者未按规定建立电子维修档案，或者未及时上传维修电子数据记录至国家有关汽车电子健康档案系统的；违反本规定其他有关规定的。由县级以上道路运输管理机构责令其限期整改；限期整改不合格的，予以通报。5、未取得机动车驾驶员培训许可证件，非法从事机动车驾驶员培训业务的；使用无效、伪造、变造、被注销的机动车驾驶员培训许可证件，非法从事机动车驾驶员培训业务的；超越许可事项，非法从事机动车驾驶员培训业务的。由县级以上道路运输管理机构责令停止经营；有违法所得的，没收违法所得，并处违法所得2倍以上10倍以下的罚款；没有违法所得或者违法所得不足1万元的，处2万元以上5万元以下的罚款；构成犯罪的，依法追究刑事责任。6、机动车驾驶员培训机构非法转让、出租机动车驾驶员培训许可证件的，由县级以上道路运输管理机构责令停止违法行为，收缴有关证件，处2000元以上1万元以下的罚款；有违法所得的，没收违法所得。对于接受非法转让、出租的受让方，应当按照第四十七条的规定处罚。7、机动车驾驶员培训机构不严格按照规定进行培训或者在培训结业证书发放时弄虚作假，有下列情形之一的，由县级以上道路运输管理机构责令改正；拒不改正的，由原许可机关吊销其经营许可：未按照全国统一的教学大纲进行培训的；未向培训结业的人员颁发《结业证书》的；向培训未结业的人员颁发《结业证书》的；向未参加培训的人员颁发《结业证书》的；使用无效、伪造、变造《结业证书》的；租用其他机动车驾驶员培训机构《结业证书》的。8、机动车驾驶员培训机构有下列情形之一的，由县级以上道路运输管理机构责令限期整改；逾期整改不合格的，予以通报：未在经营场所醒目位置悬挂机动车驾驶员培训经营许可证件的；未在经营场所公示其经营类别、培训范围、收费项目、收费标准、教练员、教学场地等情况的；未按照要求聘用教学人员的；未按规定建立学员档案、教学车辆档案的；未按规定报送《培训记录》和有关统计资料的；使用不符合规定的车辆及设施、设备从事教学活动的；存在索取、收受学员财物，或者谋取其他利益等不良行为的；未定期公布教练员教学质量排行情况的；违反本规定其他有关规定的。9、机动车驾驶培训教练员有下列情形之一的，由县级以上道路运输管理机构责令限期整改；逾期整改不合格的，予以通报：未按照全国统一的教学大纲进行教学的；填写《教学日志》、《培训记录》弄虚作假的；教学过程中有道路交通安全违法行为或者造成交通事故的；存在索取、收受学员财物，或者谋取其他利益等不良行为的；未按照规定参加驾驶新知识、新技能再教育的；违反本规定其他有关规定的。10、有下列情形之一的，由县级以上道路运输管理机构责令停止运输经营，有违法所得的，没收违法所得，处违法所得2倍以上10倍以下的罚款；没有违法所得或者违法所得不足2万元的，处3万元以上10万元以下的罚款；构成犯罪的，依法追究刑事责任：未取得道路危险货物运输许可，擅自从事道路危险货物运输的；使用失效、伪造、变造、被注销等无效道路危险货物运输许可证件从事道路危险货物运输的；超越许可事项，从事道路危险货物运输的；非经营性道路危险货物运输单位从事道路危险货物运输经营的。11、道路危险货物运输企业或者单位非法转让、出租道路危险货物运输许可证件的，由县级以上道路运输管理机构责令停止违法行为，收缴有关证件，处2000元以上1万元以下的罚款；有违法所得的，没收违法所得。12、道路危险货物运输企业或者单位有下列行为之一，由县级以上道路运输管理机构责令限期投保；拒不投保的，由原许可机关吊销《道路运输经营许可证》或者《道路危险货物运输许可证》，或者吊销相应的经营范围：未投保危险货物承运人责任险的；投保的危险货物承运人责任险已过期，未继续投保的。13、道路危险货物运输企业或者单位不按照规定随车携带《道路运输证》的，由县级以上道路运输管理机构责令改正，处警告或者20元以上200元以下的罚款。14、道路危险货物运输企业或者单位以及托运人有下列情形之一的，由县级以上道路运输管理机构责令改正，并处5万元以上10万元以下的罚款，拒不改正的，责令停产停业整顿；构成犯罪的，依法追究刑事责任：驾驶人员、装卸管理人员、押运人员未取得从业资格上岗作业的；托运人不向承运人说明所托运的危险化学品的种类、数量、危险特性以及发生危险情况的应急处置措施，或者未按照国家有关规定对所托运的危险化学品妥善包装并在外包装上设置相应标志的；未根据危险化学品的危险特性采取相应的安全防护措施，或者未配备必要的防护用品和应急救援器材的；运输危险化学品需要添加抑制剂或者稳定剂，托运人未添加或者未将有关情况告知承运人的。15、道路危险货物运输企业或者单位未配备专职安全管理人员的，由县级以上道路运输管理机构责令改正，可以处1万元以下的罚款；拒不改正的，对危险化学品运输企业或单位处1万元以上5万元以下的罚款，对运输危险化学品以外其他危险货物的企业或单位处1万元以上2万元以下的罚款。16、道路危险化学品运输托运人有下列行为之一的，由县级以上道路运输管理机构责令改正，处10万元以上20万元以下的罚款，有违法所得的，没收违法所得；拒不改正的，责令停产停业整顿；构成犯罪的，依法追究刑事责任：委托未依法取得危险货物道路运输许可的企业承运危险化学品的；在托运的普通货物中夹带危险化学品，或者将危险化学品谎报或者匿报为普通货物托运的。17、道路危险货物运输企业擅自改装已取得《道路运输证》的专用车辆及罐式专用车辆罐体的，由县级以上道路运输管理机构责令改正，并处5000元以上2万元以下的罚款。18、道路运输经营者有下列行为之一的，县级以上道路运输管理机构应当责令改正，给予警告；情节严重的，处以1000元以上5000元以下罚款：道路运输车辆技术状况未达到《道路运输车辆综合性能要求和检验方法》（GB18565）的；使用报废、擅自改装、拼装、检测不合格以及其他不符合国家规定的车辆从事道路运输经营活动的；未按照规定的周期和频次进行车辆综合性能检测和技术等级评定的；未建立道路运输车辆技术档案或者档案不符合规定的；未做好车辆维护记录的。19、道路运输车辆综合性能检测机构有下列行为之一的，县级以上道路运输管理机构不予采信其检测报告，并抄报同级质量技术监督主管部门处理。不按技术规范对道路运输车辆进行检测的；未经检测出具道路运输车辆检测结果的；不如实出具检测结果的。20、道路运输管理机构对未按照要求安装卫星定位装置，或者已安装卫星定位装置但未能在联网联控系统（重型载货汽车和半挂牵引车未能在道路货运车辆公共平台）正常显示的车辆，不予发放或者审验《道路运输证》。21、道路运输车辆综合性能检测机构有下列行为之一的，县级以上道路运输管理机构不予采信其检测报告，并抄报同级质量技术监督主管部门处理。不按技术规范对道路运输车辆进行检测的；未经检测出具道路运输车辆检测结果的；不如实出具检测结果的。22、道路运输管理机构对未按照要求安装卫星定位装置，或者已安装卫星定位装置但未能在联网联控系统（重型载货汽车和半挂牵引车未能在道路货运车辆公共平台）正常显示的车辆，不予发放或者审验《道路运输证》。23、道路运输企业有下列情形之一的，由县级以上道路运输管理机构责令改正。拒不改正的，处3000元以上8000元以下罚款：道路运输企业未使用符合标准的监控平台、监控平台未接入联网联控系统、未按规定上传道路运输车辆动态信息的；未建立或者未有效执行交通违法动态信息处理制度、对驾驶员交通违法处理率低于90%的；未按规定配备专职监控人员的。24、道路运输经营者使用卫星定位装置出现故障不能保持在线的运输车辆从事经营活动的，由县级以上道路运输管理机构责令改正。拒不改正的，处800元罚款。25、有下列情形之一的，由县级以上道路运输管理机构责令改正，处2000元以上5000元以下罚款：破坏卫星定位装置以及恶意人为干扰、屏蔽卫星定位装置信号的；伪造、篡改、删除车辆动态监控数据的。26、拒绝、阻碍道路运输管理机构依法履行放射性物品运输安全监督检查，或者在接受监督检查时弄虚作假的，由县级以上道路运输管理机构责令改正，处1万元以上2万元以下的罚款。27、未取得有关放射性物品道路运输资质许可，有下列情形之一的，由县级以上道路运输管理机构责令停止运输，有违法所得的，没收违法所得，处违法所得2倍以上10倍以下的罚款；没有违法所得或者违法所得不足2</w:t>
            </w:r>
            <w:r>
              <w:rPr>
                <w:rFonts w:hint="eastAsia" w:ascii="宋体" w:hAnsi="宋体" w:eastAsia="宋体" w:cs="宋体"/>
                <w:i w:val="0"/>
                <w:iCs w:val="0"/>
                <w:caps w:val="0"/>
                <w:color w:val="auto"/>
                <w:spacing w:val="0"/>
                <w:kern w:val="0"/>
                <w:sz w:val="22"/>
                <w:szCs w:val="22"/>
                <w:u w:val="none"/>
                <w:vertAlign w:val="baseline"/>
                <w:lang w:val="en-US" w:eastAsia="zh-CN" w:bidi="ar"/>
              </w:rPr>
              <w:t>万元的，处3万元以上10万元以下的罚款。构成犯罪的，依法追究刑事责任：无资质许可擅自从事放射性物品道路运输的；使用失效、伪造、变造、被注销等无效放射性物品道路运输许可证件从事放射性物品道路运输的；超越资质许可事项，从事放射性物品道路运输的；非经营性放射性物品道路运输单位从事放射性物品道路运输经营的。28、放射性物品道路运输企业或者单位擅自改装已取得《道路运输证》的专用车辆的，由县级以上道路运输管理机构责令改正，处5000元以上2万元以下的罚款。29、未随车携带《道路运输证》的，由县级以上道路运输管理机构责令改正，对放射性物品道路运输企业或者单位处警告或者20元以上200元以下的罚款。30、放射性物品道路运输活动中，由不符合本规定第七条、第八条规定条件的人员驾驶专用车辆的，由县级以上道路运输管理机构责令改正，处200元以上2000元以下的罚款；构成犯罪的，依法追究刑事责任。31、违反本规定，放射性物品道路运输企业或者单位有下列行为之一，由县级以上道路运输管理机构责令限期投保；拒不投保的，由原许可的设区的市级道路运输管理机构吊销《道路运输经营许可证》或者《放射性物品道路运输许可证》，或者在许可证件上注销相应的许可范围：未投保危险货物承运人责任险的；投保的危险货物承运人责任险已过期，未继续投保的。32、放射性物品道路运输企业或者单位非法转让、出租放射性物品道路运输许可证件的，由县级以上道路运输管理机构责令停止违法行为，收缴有关证件，处2000元以上1万元以下的罚款；有违法所得的，没收违法所得。33、违反本规定，放射性物品道路运输企业或者单位已不具备许可要求的有关安全条件，存在重大运输安全隐患的，由县级以上道路运输管理机构责令限期改正；在规定时间内不能按要求改正且情节严重的，由原许可机关吊销《道路运输经营许可证》或者《放射性物品道路运输许可证》，或者在许可证件上注销相应的许可范围。34、未取得道路运输经营许可，擅自从事道路运输经营的，由县级以上道路运输管理机构责令停止经营；有违法所得的，没收违法所得，处违法所得2倍以上10倍以下的罚款；没有违法所得或者违法所得不足2万元的，处3万元以上10万元以下的罚款；构成犯罪的，依法追究刑事责任。35、不符合本条例第九条、第二十二条规定条件的人员驾驶道路运输经营车辆的，由县级以上道路运输管理机构责令改正，处200元以上2000元以下的罚款；构成犯罪的，依法追究刑事责任。36、未经许可擅自从事道路运输站（场）经营、机动车维修经营、机动车驾驶员培训的，由县级以上道路运输管理机构责令停止经营；有违法所得的，没收违法所得，处违法所得2倍以上10倍以下的罚款；没有违法所得或者违法所得不足1万元的，处2万元以上5万元以下的罚款；构成犯罪的，依法追究刑事责任。37、客运经营者、货运经营者、道路运输相关业务经营者非法转让、出租道路运输许可证件的，由县级以上道路运输管理机构责令停止违法行为，收缴有关证件，处2000元以上1万元以下的罚款；有违法所得的，没收违法所得。38、客运经营者、危险货物运输经营者未按规定投保承运人责任险的，由县级以上道路运输管理机构责令限期投保；拒不投保的，由原许可机关吊销道路运输经营许可证。39、客运经营者、货运经营者不按照规定携带车辆营运证的，由县级以上道路运输管理机构责令改正，处警告或者20元以上200元以下的罚款。40、客运经营者、货运经营者有下列情形之一的，由县级以上道路运输管理机构责令改正，处1000元以上3000元以下的罚款；情节严重的，由原许可机关吊销道路运输经营许可证：不按批准的客运站点停靠或者不按规定的线路、公布的班次行驶的；强行招揽旅客、货物的；在旅客运输途中擅自变更运输车辆或者将旅客移交他人运输的；未报告原许可机关，擅自终止客运经营的；没有采取必要措施防止货物脱落、扬撒等的。41、客运经营者、货运经营者不按规定维护和检测运输车辆的，由县级以上道路运输管理机构责令改正，处1000元以上5000元以下的罚款。客运经营者、货运经营者擅自改装已取得车辆营运证的车辆的，由县级以上道路运输管理机构责令改正，处5000元以上2万元以下的罚款。42、道路运输站（场）经营者允许无证经营的车辆进站从事经营活动以及超载车辆、未经安全检查的车辆出站或者无正当理由拒绝道路运输车辆进站从事经营活动的，由县级以上道路运输管理机构责令改正，处1万元以上3万元以下的罚款。道路运输站（场）经营者擅自改变道路运输站（场）的用途和服务功能，或者不公布运输线路、起止经停站点、运输班次、始发时间、票价的，由县级以上道路运输管理机构责令改正；拒不改正的，处3000元的罚款；有违法所得的，没收违法所得。43、机动车维修经营者使用假冒伪劣配件维修机动车，承修已报废的机动车或者擅自改装机动车的，由县级以上道路运输管理机构责令改正；有违法所得的，没收违法所得，处违法所得2倍以上10倍以下的罚款；没有违法所得或者违法所得不足1万元的，处2万元以上5万元以下的罚款，没收假冒伪劣配件及报废车辆；情节严重的，由原许可机关吊销其经营许可；构成犯罪的，依法追究刑事责任。44、机动车维修经营者签发虚假的机动车维修合格证，由县级以上道路运输管理机构责令改正；有违法所得的，没收违法所得，处违法所得2倍以上10倍以下的罚款；没有违法所得或者违法所得不足3000元的，处5000元以上2万元以下的罚款；情节严重的，由原许可机关吊销其经营许可；构成犯罪的，依法追究刑事责任。45、机动车驾驶员培训机构不严格按照规定进行培训或者在培训结业证书发放时弄虚作假的，由县级以上道路运输管理机构责令改正；拒不改正的，由原许可机关吊销其经营许可。46、对1年内违法超限运输超过3次的货运车辆，由道路运输管理机构吊销其车辆营运证；对1年内违法超限运输超过3次的货运车辆驾驶人，由道路运输管理机构责令其停止从事营业性运输；道路运输企业1年内违法超限运输的货运车辆超过本单位货运车辆总数10%的，由道路运输管理机构责令道路运输企业停业整顿；情节严重的，吊销其道路运输经营许可证，并向社会公告。47、指使、强令车辆驾驶人超限运输货物的，由道路运输管理机构责令改正，处3万元以下的罚款。48、违反本规定第十八条规定的，由道路运输管理机构责令限期改正，逾期不改正的，处一千元以上二千元以下的罚款。49、违反本规定第十九条规定的，由道路运输管理机构责令改正，并按每辆次处一千元的罚款。50违反本规定第二十三条第二款规定的，由道路运输管理机构责令改正，并处五百元以上一千元以下的罚款;造成严重后果的，对货运经营者责令停业整顿直至依法吊销道路运输经营许可证。51、道路运输管理机构对一年内超限超载三次以上(含三次)的货运车辆或者驾驶员，由发证机关依法撤销其道路运输证或者从业资格证。52、擅自关闭卫星定位终端设备、屏蔽卫星定位终端设备信号的，由县级以上道路运输管理机构责令限期改正，处二千元以上五千元以下的罚款。53、客运经营者、货运经营者不按照规定维护和检测运输车辆的，由县级以上道路运输管理机构责令改正，处一千元以上三千元以下的罚款;情节严重的，处三千元以上五千元以下的罚款。54、擅自转让或者以承包、出租等方式变相转让城市公共汽电车客运线路经营权的，由县级以上道路运输管理机构责令限期改正;逾期未改正的，处一万元以上三万元以下的罚款;情节严重的，依法取消相关城市公共汽电车客运经营者的特许经营权。55、由县级以上道路运输管理机构责令限期改正，对相关城市公共汽电车客运经营者处一千元以上三千元以下的罚款;情节严重的，由原许可机关吊销道路运输经营许可证:不按照确定的线路、站点、班次和时间经营的;不按照核准收费标准收费的;拒绝享受减免票待遇的乘客乘车的。56、班车客运经营、包车客运经营和旅游客运经营中途将乘客交给他人运输、甩客或者在高速公路上下乘客、装卸行李和包裹的，由县级以上道路运输管理机构责令限期改正，处一千元以上三千元以下的罚款;情节严重的，吊销相关车辆道路运输证件。57、班车客运经营、包车客运经营和旅游客运经营中途将乘客交给他人运输、甩客或者在高速公路上下乘客、装卸行李和包裹的，由县级以上道路运输管理机构责令限期改正，处一千元以上三千元以下的罚款;情节严重的，吊销相关车辆道路运输证件。58、在非巡游车上使用巡游车车体颜色、专用标志、计价器的，由县级以上道路运输管理机构责令限期改正，没收相关专用标志、计价器，并处三千元以上一万元以下的罚款。59、出租汽车客运经营者在巡游车车窗上贴有色膜、使用有色玻璃或者巡游车拒绝载客、网约车巡游揽客的，由县级以上道路运输管理机构责令限期改正，处五百元以上二千元以下的罚款;出租、出借、转让、涂改道路运输许可证件以及巡游车服务监督卡的，由县级以上道路运输管理机构责令限期改正，处二千元以上五千元以下的罚款。60、道路运输企业一年内违法超限超载运输的货运车辆超过本单位货运车辆总数百分之十的，由道路运输管理机构责令其停业整顿;情节严重的，吊销其道路运输经营许可证，并向社会公告。道路货物运输车辆驾驶员违法超限超载运输的，由有关部门依法处理，一年内三次以上违法超限超载运输的，由发证机构吊销其从业资格证件，自吊销之日起五年内不得从事道路货物运输经营;构成犯罪的，依法追究刑事责任。61、机动车驾驶员培训机构有下列行为之一的，由县级以上道路运输管理机构责令改正，并按照下列规定予以处罚:未建立学员档案、培训记录或者伪造、篡改培训记录的，处二千元以上五千元以下的罚款;使用不符合规定的车辆以及设施、设备或者改装培训车辆车载计时终端进行培训活动的，处三千元以上一万元以下的罚款;采取异地培训、恶意压价、欺骗学员等不正当手段进行培训，或者委托其他不具备资质的机构培训，或者以报名点、招生处、分校等形式开展培训的，处一万元以</w:t>
            </w:r>
            <w:r>
              <w:rPr>
                <w:rFonts w:hint="eastAsia" w:ascii="宋体" w:hAnsi="宋体" w:eastAsia="宋体" w:cs="宋体"/>
                <w:i w:val="0"/>
                <w:iCs w:val="0"/>
                <w:caps w:val="0"/>
                <w:color w:val="auto"/>
                <w:spacing w:val="0"/>
                <w:kern w:val="0"/>
                <w:sz w:val="22"/>
                <w:szCs w:val="22"/>
                <w:u w:val="none"/>
                <w:vertAlign w:val="baseline"/>
                <w:lang w:val="en-US" w:eastAsia="zh-CN" w:bidi="ar"/>
              </w:rPr>
              <w:t>上三万元以下的罚款。62、未取得道路运输经营许可擅自从事汽车租赁经营的，由县级以上道路运输管理机构责令限期改正，有违法所得的，没收违法所得，并处五千元以上二万元以下的罚款。63、使用未办理租赁车辆备案、未领取车辆备案证明文件的车辆从事汽车租赁经营的，由县级以上道路运输管理机构责令限期改正，并按照非法从事汽车租赁经营的车辆数量，处每辆车二千元以上五千元以下的罚款;非法从事汽车租赁经营的车辆数量超过十辆的，责令汽车租赁经营者停业整顿并暂扣道路运输经营许可证件。64、汽车租赁经营者和承租人使用租赁车辆从事或者变相从事其他客运经营活动的，由县级以上道路运输管理机构责令限期改正，处一万元以上三万元以下的罚款。65、有下列行为之一的，由县级以上地方人民政府出租汽车行政主管部门责令改正，并处以5000元以上20000元以下罚款。构成犯罪的，依法追究刑事责任：未取得巡游出租汽车经营许可，擅自从事巡游出租汽车经营活动的；起讫点均不在许可的经营区域从事巡游出租汽车经营活动的；使用未取得道路运输证的车辆，擅自从事巡游出租汽车经营活动的；使用失效、伪造、变造、被注销等无效道路运输证的车辆从事巡游出租汽车经营活动的。66、巡游出租汽车经营者违反本规定，有下列行为之一的，由县级以上地方人民政府出租汽车行政主管部门责令改正，并处以10000元以上20000元以下罚款。构成犯罪的，依法追究刑事责任：</w:t>
            </w:r>
          </w:p>
          <w:p w14:paraId="625D34C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擅自暂停、终止全部或者部分巡游出租汽车经营的；出租或者擅自转让巡游出租汽车车辆经营权的；巡游出租汽车驾驶员转包经营未及时纠正的；不按照规定保证车辆技术状况良好的；不按照规定配置巡游出租汽车相关设备的；不按照规定建立并落实投诉举报制度的。67、巡游出租汽车驾驶员违反本规定，有下列情形之一的，由县级以上地方人民政府出租汽车行政主管部门责令改正，并处以200元以上2000元以下罚款：拒载、议价、途中甩客或者故意绕道行驶的；未经乘客同意搭载其他乘客的；不按照规定使用计程计价设备、违规收费的；不按照规定出具相应车费票据的；不按照规定携带道路运输证、从业资格证的；不按照规定使用巡游出租汽车相关设备的；接受巡游出租汽车电召任务后未履行约定的；不按照规定使用文明用语，车容车貌不符合要求的。68、巡游出租汽车驾驶员违反本规定，有下列情形之一的，由县级以上地方人民政府出租汽车行政主管部门责令改正，并处以500元以上2000元以下罚款：在机场、火车站、汽车客运站、港口、公共交通枢纽等客流集散地不服从调度私自揽客的；转让、倒卖、伪造巡游出租汽车相关票据的。69、违反本规定，有下列行为之一的人员，由县级以上出租汽车行政主管部门责令改正，并处1万元以上3万元以下的罚款；构成犯罪的，依法追究刑事责任：未取得从业资格证或者超越从业资格证核定范围，驾驶出租汽车从事经营活动的；使用失效、伪造、变造的从业资格证，驾驶出租汽车从事经营活动的；转借、出租、涂改从业资格证的。70、出租汽车驾驶员违反第十六条、第四十条规定的，由县级以上出租汽车行政主管部门责令改正，并处200元以上2000元以下的罚款。71、违反本规定，聘用未取得从业资格证的人员，驾驶出租汽车从事经营活动的，由县级以上出租汽车行政主管部门责令改正，并处5000元以上1万元以下的罚款；情节严重的，处1万元以上3万元以下的罚款。72、违反本规定，有下列行为之一的出租汽车经营者，由县级以上出租汽车行政主管部门责令改正，并处1000元以上3000元以下的罚款：聘用未按规定办理注册手续的人员，驾驶出租汽车从事经营活动的；不按照规定组织实施继续教育的。73、有下列情形之一的，由交通运输主管部门责令改正，处5万元以上10万元以下的罚款；拒不改正的，责令停产停业整顿；构成犯罪的，依法追究刑事责任：危险化学品道路运输企业的驾驶人员、船员、装卸管理人员、押运人员、申报人员、集装箱装箱现场检查员未取得从业资格上岗作业的；运输危险化学品，未根据危险化学品的危险特性采取相应的安全防护措施，或者未配备必要的防护用品和应急救援器材的；托运人不向承运人说明所托运的危险化学品的种类、数量、危险特性以及发生危险情况的应急处置措施，或者未按照国家有关规定对所托运的危险化学品妥善包装并在外包装上设置相应标志的；运输危险化学品需要添加抑制剂或者稳定剂，托运人未添加或者未将有关情况告知承运人的。74、有下列情形之一的，由交通运输主管部门责令改正，可以处1万元以下的罚款；拒不改正的，处1万元以上5万元以下的罚款：危险化学品道路运输企业、水路运输企业未配备专职安全管理人员的；75、有下列情形之一的，由交通运输主管部门责令改正，处10万元以上20万元以下的罚款，有违法所得的，没收违法所得；拒不改正的，责令停产停业整顿；构成犯罪的，依法追究刑事责任：委托未依法取得危险货物道路运输许可的企业承运危险化学品的；在托运的普通货物中夹带危险化学品，或者将危险化学品谎报或者匿报为普通货物托运的。76、未取得客运站经营许可，擅自从事客运站经营的；使用失效、伪造、变造、被注销等无效的客运站许可证件从事客运站经营的；超越许可事项，从事客运站经营的。由县级以上道路运输管理机构责令停止经营；有违法所得的，没收违法所得，处违法所得2倍以上10倍以下的罚款；没有违法所得或者违法所得不足1万元的，处2万元以上5万元以下的罚款；构成犯罪的，依法追究刑事责任。77、客运经营者、客运站经营者非法转让、出租道路运输经营许可证件的，由县级以上道路运输管理机构责令停止违法行为，收缴有关证件，处2000元以上1万元以下的罚款；有违法所得的，没收违法所得。78、未为旅客投保承运人责任险的；未按最低投保限额投保的；投保的承运人责任险已过期，未继续投保的。由县级以上道路运输管理机构责令限期投保；拒不投保的，由原许可机关吊销《道路运输经营许可证》或者吊销相应的经营范围。79、取得客运经营许可的客运经营者使用无《道路运输证》的车辆参加客运经营的，由县级以上道路运输管理机构责令改正，处3000元以上1万元以下的罚款。</w:t>
            </w:r>
          </w:p>
          <w:p w14:paraId="631E846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违反本规定，客运经营者不按照规定携带《道路运输证》的，由县级以上道路运输管理机构责令改正，处警告或者20元以上200元以下的罚款。80、客运经营者（含国际道路客运经营者）、客运站经营者及客运相关服务经营者不按规定使用道路运输业专用票证或者转让、倒卖、伪造道路运输业专用票证的，由县级以上道路运输管理机构责令改正，处1000元以上3000元以下的罚款。81、省际、市际客运班线的经营者或者其委托的售票单位、起讫点和中途停靠站点客运站经营者未按规定对旅客身份进行查验，或者对身份不明、拒绝提供身份信息的旅客提供服务的，由县级以上道路运输管理机构责令改正；拒不改正的，处10万元以上50万元以下罚款，并对其直接负责的主管人员和其他直接责任人员处10万元以下罚款；情节严重的，由县级以上道路运输管理机构责令其停止从事相关道路旅客运输或者客运站经营业务；造成严重后果的，由原许可机关吊销有关道路旅客运输或者客运站经营许可证件。82、客运班车不按批准的客运站点停靠或者不按规定的线路、班次行驶的；加班车、顶班车、接驳车无正当理由不按原正班车的线路、站点、班次行驶的；客运包车未持有效的包车客运标志牌进行经营的，不按照包车客运标志牌载明的事项运行的，线路两端均不在车籍所在地的，按班车模式定点定线运营的，招揽包车合同以外的旅客乘车的；以欺骗、暴力等手段招揽旅客的；在旅客运输途中擅自变更运输车辆或者将旅客移交他人运输的；未报告原许可机关，擅自终止道路客运经营的。由县级以上道路运输管理机构责令改正，处1000元以上3000元以下的罚款；情节严重的，由原许可机关吊销《道路运输经营许可证》或者吊销相应的经营范围。83、客运经营者、客运站经营者已不具备开业要求的有关安全条件、存在重大运输安全隐患的，由县级以上道路运输管理机构责令限期改正；在规定时间内不能按要求改正且情节严重的，由原许可机关吊销《道路运输经营许可证》或者吊销相应的经营范围。84、允许无经营许可证件的车辆进站从事经营活动的；允许超载车辆出站的；允许未经安全检查或者安全检查不合格的车辆发车的；无正当理由拒绝客运车辆进站从事经营活动的。由县级以上道路运输管理机构责令改正，处1万元以上3万元以下的罚款85、擅自改变客运站的用途和服务功能的；不公布运输线路、起讫停靠站点、班次、发车时间、票价的。由县级以上道路运输管理机构责令改正；拒不改正的，处3000元的罚款；有违法所得的，没收违法所得。86、未取得道路货物运输经营许可，擅自从事道路货物运输经营的；使用失效、伪造、变造、被注销等无效的道路运输经营许可证件从事道路货物运输经营的；超越许可的事项，从事道路货物运输经营的。由县级以上道路运输管理机构责令停止经营；有违法所得的，没收违法所得，处违法所得2倍以上10倍以下的罚款；没有违法所得或者违法所得不足2万元的，处3万元以上10万元以下的罚款；构成犯罪的，依法追究刑事责任。87、道路货物运输和货运站经营者非法转让、出租道路运输经营许可证件的，由县级以上道路运输管理机构责令停止违法行为，收缴有关证件，处2000元以上1万元以下的罚款；有违法所得的，没收违法所得。88、取得道路货物运输经营许可的道路货物运输经营者使用无道路运输证的车辆参加货物运输的，由县级以上道路运输管理机构责令改正，处3000元以上1万元以下的罚款。道路货物运输经营者不按照规定携带《道路运输证》的，由县级以上道路运输管理机构责令改正，处警告或者20元以上200元以下的罚款。89、道路货物运输经营者、货运站经营者已不具备开业要求的有关安全条件、存在重大运输安全隐患的，由县级以上道路运输管理机构限期责令改正；在规定时间内不能按要求改正且情节严重的，由原许可机关吊销《道路运输经营许可证》或者吊销其相应的经营范围。90、强行招揽货物的；没有采取必要措施防止货物脱落、扬撒的。由县级以上道路运输管理机构责令改正，处1000元以上3000元以下的罚款；情节严重的，由原许可机关吊销道路运输经营许可证或者吊销其相应的经营范围。91、未取得货运站经营许可，擅自从事货运站经营的；使用失效、伪造、变造、被注销等无效的道路运输经营许可证件从事货运站经营的；超越许可的事项，从事货运站经营的。由县级以上道路运输管理机构责令停止经营；有违法所得的，没收违法所得，处违法所得2倍以上10倍以下的罚款；没有违法所得或者违法所得不足1万元的，处2万元以上5万元以下的罚款；构成犯罪的，依法追究刑事责任。92、货运站经营者对超限、超载车辆配载，放行出站的，由县级以上道路运输管理机构责令改正，处1万元以上3万元以下的罚款。93、货运站经营者擅自改变道路运输站（场）的用途和服务功能，由县级以上道路运输管理机构责令改正；拒不改正的，处3000元的罚款；有违法所得的，没收违法所得。94、没有按照国家有关规定在货运车辆上安装符合标准的具有行驶记录功能的卫星定位装置的；大型物件运输车辆不按规定悬挂、标明运输标志的；发生公共突发性事件，不接受当地政府统一调度安排的；因配载造成超限、超载的；运输没有限运证明物资的；未查验禁运、限运物资证明，配载禁运、限运物资的。由县级以上道路运输管理机构责令限期整改，整改不合格的，予以通报。95、未取得相应从业资格证件，驾驶道路客货运输车辆的；使用失效、伪造、变造的从业资格证件，驾驶道路客货运输车辆的；超越从业资格证件核定范围，驾驶道路客货运输车辆的。由县级以上道路运输管理机构责令改正，处200元以上2000元以下的罚款；构成犯罪的，依法追究刑事责任。</w:t>
            </w:r>
          </w:p>
          <w:p w14:paraId="57572E6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96、（一）经营性道路客货运输驾驶员、道路危险货物运输从业人员身体健康状况不符合有关机动车驾驶和相关从业要求且没有主动申请注销从业资格的；</w:t>
            </w:r>
          </w:p>
          <w:p w14:paraId="20775E4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（二）经营性道路客货运输驾驶员、道路危险货物运输驾驶员发生重大以上交通事故，且负主要责任的；</w:t>
            </w:r>
          </w:p>
          <w:p w14:paraId="6580A19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三）发现重大事故隐患，不立即采取消除措施，继续作业的。97、在公路建筑控制区内修建、扩建建筑物、地面构筑物或者未经许可埋设管道、电缆等设施的。98、在公路建筑控制区外修建的建筑物、地面构筑物以及其他设施遮挡公路标志或者妨碍安全视距的99、利用公路桥梁进行牵拉、吊装等危及公路桥梁安全的施工作业100、利用公路桥梁（含桥下空间）、公路隧道、涵洞堆放物品，搭建设施以及铺设高压电线和输送易燃、易爆或者其他有毒有害气体、液体的管道101、损坏、擅自移动、涂改、遮挡公路附属设施或者利用公路附属设施架设管道、悬挂物品，可能危及公路安全的.102、涉路工程设施影响公路完好、安全和畅通的。103、未经批准更新采伐护路林的。104、擅自占用、挖掘公路、公路用地或者使公路改线。105、未经许可跨越、穿越公路修建桥梁、渡槽或者架设、埋设管道、电缆，或者在公路用地范围内架设、埋设管道、电缆等设施的。106擅自利用公路桥梁、公路隧道、涵洞铺设电缆等设施的。107、擅自利用跨越公路的设施悬挂非公路标志的。108、擅自在公路上增设、改造平面交叉道口的。109、车货总体的外廓尺寸超过公路、公路桥梁、公路隧道、汽车渡船核定标准的车辆在公路上行驶的。110、租借、转让超限运输车辆通行证的。111、使用伪造、变造的超限运输车辆通行证的112、车货总质量超过公路、公路桥梁、公路隧道、汽车渡船核定标准的车辆在公路上行驶的。113、采取故意堵塞固定超限检测站点通行车道、强行通过固定超限检测站点等方式扰乱超限检测秩序的114、采取短途驳载等方式逃避超限检测的115、车辆装载物触地拖行、掉落、遗洒或者飘散，造成公路路面损坏、污染的116、公路养护作业单位未按照国务院交通运输主管部门规定的技术规范和操作规程进行公路养护作业的117、从事危及公路安全的作业的118、损坏、挪动建筑控制区的标桩、界桩，可能危及公路安全的119、造成公路路面损坏、污染或者影响公路畅通的120、将公路作为试车场地的121、造成公路损坏，未报告的122、未经批准在公路用地范围内设置公路标志以外的其他标志的123、对在公路上非法设置站、卡收费的（有违法所得）124、对在公路上非法设置站、卡收费的（没有违法所得）</w:t>
            </w:r>
          </w:p>
          <w:p w14:paraId="27DB4AF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p w14:paraId="3DE1002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p w14:paraId="12C9606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p w14:paraId="6A7FC0C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p w14:paraId="1390191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1814" w:type="dxa"/>
            <w:tcBorders>
              <w:top w:val="nil"/>
              <w:left w:val="nil"/>
              <w:bottom w:val="single" w:color="auto" w:sz="8" w:space="0"/>
              <w:right w:val="single" w:color="auto" w:sz="8" w:space="0"/>
            </w:tcBorders>
            <w:shd w:val="clear" w:color="auto" w:fill="FFFFFF"/>
            <w:vAlign w:val="center"/>
          </w:tcPr>
          <w:p w14:paraId="4F95BCC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每类事项的基本信息、结果信息</w:t>
            </w:r>
          </w:p>
        </w:tc>
        <w:tc>
          <w:tcPr>
            <w:tcW w:w="1894" w:type="dxa"/>
            <w:tcBorders>
              <w:top w:val="nil"/>
              <w:left w:val="nil"/>
              <w:bottom w:val="single" w:color="auto" w:sz="8" w:space="0"/>
              <w:right w:val="single" w:color="auto" w:sz="8" w:space="0"/>
            </w:tcBorders>
            <w:shd w:val="clear" w:color="auto" w:fill="FFFFFF"/>
            <w:vAlign w:val="center"/>
          </w:tcPr>
          <w:p w14:paraId="309AE3B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right="0" w:firstLine="440" w:firstLineChars="20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《中华人民共和国行政处罚法》《中华人民共和国政府信息公开条例》《</w:t>
            </w:r>
            <w:r>
              <w:rPr>
                <w:rFonts w:hint="eastAsia" w:ascii="宋体" w:hAnsi="宋体" w:eastAsia="宋体" w:cs="宋体"/>
                <w:i w:val="0"/>
                <w:iCs w:val="0"/>
                <w:caps w:val="0"/>
                <w:color w:val="auto"/>
                <w:spacing w:val="0"/>
                <w:kern w:val="0"/>
                <w:sz w:val="22"/>
                <w:szCs w:val="22"/>
                <w:u w:val="none"/>
                <w:vertAlign w:val="baseline"/>
                <w:lang w:val="en-US" w:eastAsia="zh-CN" w:bidi="ar"/>
              </w:rPr>
              <w:t>湖南省社会信用体系建设工作要点</w:t>
            </w:r>
            <w:r>
              <w:rPr>
                <w:rFonts w:hint="eastAsia" w:ascii="宋体" w:hAnsi="宋体" w:eastAsia="宋体" w:cs="宋体"/>
                <w:i w:val="0"/>
                <w:iCs w:val="0"/>
                <w:caps w:val="0"/>
                <w:color w:val="auto"/>
                <w:spacing w:val="0"/>
                <w:kern w:val="0"/>
                <w:sz w:val="22"/>
                <w:szCs w:val="22"/>
                <w:u w:val="none"/>
                <w:vertAlign w:val="baseline"/>
                <w:lang w:val="en-US" w:eastAsia="zh-CN" w:bidi="ar"/>
              </w:rPr>
              <w:t>》等</w:t>
            </w:r>
          </w:p>
        </w:tc>
        <w:tc>
          <w:tcPr>
            <w:tcW w:w="1904" w:type="dxa"/>
            <w:tcBorders>
              <w:top w:val="nil"/>
              <w:left w:val="nil"/>
              <w:bottom w:val="single" w:color="auto" w:sz="8" w:space="0"/>
              <w:right w:val="single" w:color="auto" w:sz="8" w:space="0"/>
            </w:tcBorders>
            <w:shd w:val="clear" w:color="auto" w:fill="FFFFFF"/>
            <w:vAlign w:val="center"/>
          </w:tcPr>
          <w:p w14:paraId="7E1E129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执法决定信息在决定作出之日起7个工作日内公开，其他相关信息形成或变更之日起20个工作日内公开（相关法律法规另有规定的，从其规定）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233B7A0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p w14:paraId="785A98E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r>
              <w:rPr>
                <w:rFonts w:hint="eastAsia" w:ascii="宋体" w:hAnsi="宋体" w:eastAsia="宋体" w:cs="宋体"/>
                <w:i w:val="0"/>
                <w:iCs w:val="0"/>
                <w:caps w:val="0"/>
                <w:color w:val="auto"/>
                <w:spacing w:val="0"/>
                <w:kern w:val="0"/>
                <w:sz w:val="22"/>
                <w:szCs w:val="22"/>
                <w:u w:val="none"/>
                <w:vertAlign w:val="baseline"/>
                <w:lang w:val="en-US" w:eastAsia="zh-CN" w:bidi="ar"/>
              </w:rPr>
              <w:t>信用中国（湖南邵阳）</w:t>
            </w:r>
          </w:p>
        </w:tc>
        <w:tc>
          <w:tcPr>
            <w:tcW w:w="810" w:type="dxa"/>
            <w:tcBorders>
              <w:top w:val="nil"/>
              <w:left w:val="nil"/>
              <w:bottom w:val="single" w:color="auto" w:sz="8" w:space="0"/>
              <w:right w:val="single" w:color="auto" w:sz="8" w:space="0"/>
            </w:tcBorders>
            <w:shd w:val="clear" w:color="auto" w:fill="FFFFFF"/>
            <w:vAlign w:val="center"/>
          </w:tcPr>
          <w:p w14:paraId="55D1683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1F26B76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17AA210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0BBFB1D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6CE6F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996"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2D4FA95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16</w:t>
            </w:r>
          </w:p>
        </w:tc>
        <w:tc>
          <w:tcPr>
            <w:tcW w:w="950" w:type="dxa"/>
            <w:tcBorders>
              <w:top w:val="nil"/>
              <w:left w:val="nil"/>
              <w:bottom w:val="single" w:color="auto" w:sz="8" w:space="0"/>
              <w:right w:val="single" w:color="auto" w:sz="8" w:space="0"/>
            </w:tcBorders>
            <w:shd w:val="clear" w:color="auto" w:fill="FFFFFF"/>
            <w:vAlign w:val="center"/>
          </w:tcPr>
          <w:p w14:paraId="78B7905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事项办理</w:t>
            </w:r>
          </w:p>
          <w:p w14:paraId="09C3D15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（公共服务）</w:t>
            </w:r>
          </w:p>
        </w:tc>
        <w:tc>
          <w:tcPr>
            <w:tcW w:w="1876" w:type="dxa"/>
            <w:tcBorders>
              <w:top w:val="nil"/>
              <w:left w:val="nil"/>
              <w:bottom w:val="single" w:color="auto" w:sz="8" w:space="0"/>
              <w:right w:val="single" w:color="auto" w:sz="8" w:space="0"/>
            </w:tcBorders>
            <w:shd w:val="clear" w:color="auto" w:fill="FFFFFF"/>
            <w:vAlign w:val="center"/>
          </w:tcPr>
          <w:p w14:paraId="090627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共19项）1.公路工程建设项目信息公开。2、班车、包车客运经营客运标志牌配发。3、安全生产人员教育培训。4、办理交通建设工程质量和安全生产监督手续查询。5、出租汽车服务质量投诉举报受理。6、道路旅客运输企业车辆年度审验。7、出租汽车驾驶员从业资格资质查询。8、公共汽车乘客投诉受理。9、公路水运工程质量举报和投诉受理。10、公路水运工程安全生产投诉举报受理。11、道路运输从业人员从业资格证查询。12、机动车驾驶员培训能力评估。13、机动车维修工时单价备案。14、机动车综合性能检查机构公告。15、机动车驾驶员培训学时收费标准备案。16、交通运输安全生产举报受理。17、客运班车资质查询。18、网络预约出租汽车资质查询。19、巡游出租汽车资质查询</w:t>
            </w:r>
          </w:p>
        </w:tc>
        <w:tc>
          <w:tcPr>
            <w:tcW w:w="1814" w:type="dxa"/>
            <w:tcBorders>
              <w:top w:val="nil"/>
              <w:left w:val="nil"/>
              <w:bottom w:val="single" w:color="auto" w:sz="8" w:space="0"/>
              <w:right w:val="single" w:color="auto" w:sz="8" w:space="0"/>
            </w:tcBorders>
            <w:shd w:val="clear" w:color="auto" w:fill="FFFFFF"/>
            <w:vAlign w:val="center"/>
          </w:tcPr>
          <w:p w14:paraId="3E67229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每类事项的基本信息、受理条件、设定依据、办理流程、常见问题、收费标准、办理材料目录、办理结果样本</w:t>
            </w:r>
          </w:p>
        </w:tc>
        <w:tc>
          <w:tcPr>
            <w:tcW w:w="1894" w:type="dxa"/>
            <w:tcBorders>
              <w:top w:val="nil"/>
              <w:left w:val="nil"/>
              <w:bottom w:val="single" w:color="auto" w:sz="8" w:space="0"/>
              <w:right w:val="single" w:color="auto" w:sz="8" w:space="0"/>
            </w:tcBorders>
            <w:shd w:val="clear" w:color="auto" w:fill="FFFFFF"/>
            <w:vAlign w:val="center"/>
          </w:tcPr>
          <w:p w14:paraId="79323B8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《中华人民共和国政府信息公开条例》《湖南省实施&lt;中华人民共和国政府信息公开条例&gt;办法》等法律法规规章规范性文件</w:t>
            </w:r>
          </w:p>
        </w:tc>
        <w:tc>
          <w:tcPr>
            <w:tcW w:w="1904" w:type="dxa"/>
            <w:tcBorders>
              <w:top w:val="nil"/>
              <w:left w:val="nil"/>
              <w:bottom w:val="single" w:color="auto" w:sz="8" w:space="0"/>
              <w:right w:val="single" w:color="auto" w:sz="8" w:space="0"/>
            </w:tcBorders>
            <w:shd w:val="clear" w:color="auto" w:fill="FFFFFF"/>
            <w:vAlign w:val="center"/>
          </w:tcPr>
          <w:p w14:paraId="45224F9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信息产生或变更之日起20个工作日内公开，保持长期公开（相关法律法规另有规定的，从其规定）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1165203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p w14:paraId="78AA94E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r>
              <w:rPr>
                <w:rFonts w:hint="eastAsia" w:ascii="宋体" w:hAnsi="宋体" w:eastAsia="宋体" w:cs="宋体"/>
                <w:i w:val="0"/>
                <w:iCs w:val="0"/>
                <w:caps w:val="0"/>
                <w:color w:val="auto"/>
                <w:spacing w:val="0"/>
                <w:kern w:val="0"/>
                <w:sz w:val="22"/>
                <w:szCs w:val="22"/>
                <w:u w:val="none"/>
                <w:vertAlign w:val="baseline"/>
                <w:lang w:val="en-US" w:eastAsia="zh-CN" w:bidi="ar"/>
              </w:rPr>
              <w:t>湖南省“互联网+政务服务”一体化平台</w:t>
            </w:r>
          </w:p>
        </w:tc>
        <w:tc>
          <w:tcPr>
            <w:tcW w:w="810" w:type="dxa"/>
            <w:tcBorders>
              <w:top w:val="nil"/>
              <w:left w:val="nil"/>
              <w:bottom w:val="single" w:color="auto" w:sz="8" w:space="0"/>
              <w:right w:val="single" w:color="auto" w:sz="8" w:space="0"/>
            </w:tcBorders>
            <w:shd w:val="clear" w:color="auto" w:fill="FFFFFF"/>
            <w:vAlign w:val="center"/>
          </w:tcPr>
          <w:p w14:paraId="1834A95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2CE0CAE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1CDA53A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04806DD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7424C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656"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2295FFA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17</w:t>
            </w:r>
          </w:p>
        </w:tc>
        <w:tc>
          <w:tcPr>
            <w:tcW w:w="950" w:type="dxa"/>
            <w:tcBorders>
              <w:top w:val="nil"/>
              <w:left w:val="nil"/>
              <w:bottom w:val="single" w:color="auto" w:sz="8" w:space="0"/>
              <w:right w:val="single" w:color="auto" w:sz="8" w:space="0"/>
            </w:tcBorders>
            <w:shd w:val="clear" w:color="auto" w:fill="FFFFFF"/>
            <w:vAlign w:val="center"/>
          </w:tcPr>
          <w:p w14:paraId="23E1550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事项办理</w:t>
            </w:r>
            <w:r>
              <w:rPr>
                <w:rFonts w:hint="eastAsia" w:ascii="宋体" w:hAnsi="宋体" w:eastAsia="宋体" w:cs="宋体"/>
                <w:i w:val="0"/>
                <w:iCs w:val="0"/>
                <w:caps w:val="0"/>
                <w:color w:val="auto"/>
                <w:spacing w:val="0"/>
                <w:kern w:val="0"/>
                <w:sz w:val="22"/>
                <w:szCs w:val="22"/>
                <w:u w:val="none"/>
                <w:vertAlign w:val="baseline"/>
                <w:lang w:val="en-US" w:eastAsia="zh-CN" w:bidi="ar"/>
              </w:rPr>
              <w:br w:type="textWrapping"/>
            </w:r>
            <w:r>
              <w:rPr>
                <w:rFonts w:hint="eastAsia" w:ascii="宋体" w:hAnsi="宋体" w:eastAsia="宋体" w:cs="宋体"/>
                <w:i w:val="0"/>
                <w:iCs w:val="0"/>
                <w:caps w:val="0"/>
                <w:color w:val="auto"/>
                <w:spacing w:val="0"/>
                <w:kern w:val="0"/>
                <w:sz w:val="22"/>
                <w:szCs w:val="22"/>
                <w:u w:val="none"/>
                <w:vertAlign w:val="baseline"/>
                <w:lang w:val="en-US" w:eastAsia="zh-CN" w:bidi="ar"/>
              </w:rPr>
              <w:t>(其他行政权力）</w:t>
            </w:r>
          </w:p>
        </w:tc>
        <w:tc>
          <w:tcPr>
            <w:tcW w:w="1876" w:type="dxa"/>
            <w:tcBorders>
              <w:top w:val="nil"/>
              <w:left w:val="nil"/>
              <w:bottom w:val="single" w:color="auto" w:sz="8" w:space="0"/>
              <w:right w:val="single" w:color="auto" w:sz="8" w:space="0"/>
            </w:tcBorders>
            <w:shd w:val="clear" w:color="auto" w:fill="FFFFFF"/>
            <w:vAlign w:val="center"/>
          </w:tcPr>
          <w:p w14:paraId="769E8B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（共3项）1.规范出租车车型、车容车貌、专用设施设备2、出租汽车年度审验3、道路客运、货运车辆营运证配发</w:t>
            </w:r>
          </w:p>
        </w:tc>
        <w:tc>
          <w:tcPr>
            <w:tcW w:w="1814" w:type="dxa"/>
            <w:tcBorders>
              <w:top w:val="nil"/>
              <w:left w:val="nil"/>
              <w:bottom w:val="single" w:color="auto" w:sz="8" w:space="0"/>
              <w:right w:val="single" w:color="auto" w:sz="8" w:space="0"/>
            </w:tcBorders>
            <w:shd w:val="clear" w:color="auto" w:fill="FFFFFF"/>
            <w:vAlign w:val="center"/>
          </w:tcPr>
          <w:p w14:paraId="000E5D9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每类事项的基本信息、办理流程、设定依据、办理结果</w:t>
            </w:r>
          </w:p>
        </w:tc>
        <w:tc>
          <w:tcPr>
            <w:tcW w:w="1894" w:type="dxa"/>
            <w:tcBorders>
              <w:top w:val="nil"/>
              <w:left w:val="nil"/>
              <w:bottom w:val="single" w:color="auto" w:sz="8" w:space="0"/>
              <w:right w:val="single" w:color="auto" w:sz="8" w:space="0"/>
            </w:tcBorders>
            <w:shd w:val="clear" w:color="auto" w:fill="FFFFFF"/>
            <w:vAlign w:val="center"/>
          </w:tcPr>
          <w:p w14:paraId="701445D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《中华人民共和国政府信息公开条例》《湖南省社会信用体系建设工作考核办法》《湖南省政务服务中心管理办法》等</w:t>
            </w:r>
          </w:p>
        </w:tc>
        <w:tc>
          <w:tcPr>
            <w:tcW w:w="1904" w:type="dxa"/>
            <w:tcBorders>
              <w:top w:val="nil"/>
              <w:left w:val="nil"/>
              <w:bottom w:val="single" w:color="auto" w:sz="8" w:space="0"/>
              <w:right w:val="single" w:color="auto" w:sz="8" w:space="0"/>
            </w:tcBorders>
            <w:shd w:val="clear" w:color="auto" w:fill="FFFFFF"/>
            <w:vAlign w:val="center"/>
          </w:tcPr>
          <w:p w14:paraId="625520D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both"/>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信息产生或变更之日起20个工作日内公开，保持长期公开（相关法律法规另有规定的，从其规定）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5910B2C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p w14:paraId="59B5C99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■湖南</w:t>
            </w:r>
            <w:r>
              <w:rPr>
                <w:rFonts w:hint="eastAsia" w:ascii="宋体" w:hAnsi="宋体" w:eastAsia="宋体" w:cs="宋体"/>
                <w:i w:val="0"/>
                <w:iCs w:val="0"/>
                <w:caps w:val="0"/>
                <w:color w:val="auto"/>
                <w:spacing w:val="0"/>
                <w:kern w:val="0"/>
                <w:sz w:val="22"/>
                <w:szCs w:val="22"/>
                <w:u w:val="none"/>
                <w:vertAlign w:val="baseline"/>
                <w:lang w:val="en-US" w:eastAsia="zh-CN" w:bidi="ar"/>
              </w:rPr>
              <w:t>省“互联网+政务服务”一体化平台</w:t>
            </w:r>
          </w:p>
        </w:tc>
        <w:tc>
          <w:tcPr>
            <w:tcW w:w="810" w:type="dxa"/>
            <w:tcBorders>
              <w:top w:val="nil"/>
              <w:left w:val="nil"/>
              <w:bottom w:val="single" w:color="auto" w:sz="8" w:space="0"/>
              <w:right w:val="single" w:color="auto" w:sz="8" w:space="0"/>
            </w:tcBorders>
            <w:shd w:val="clear" w:color="auto" w:fill="FFFFFF"/>
            <w:vAlign w:val="center"/>
          </w:tcPr>
          <w:p w14:paraId="6B7CB34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325107A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306D980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4BA8BC1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637F3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751"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4B23846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18</w:t>
            </w:r>
          </w:p>
        </w:tc>
        <w:tc>
          <w:tcPr>
            <w:tcW w:w="950" w:type="dxa"/>
            <w:tcBorders>
              <w:top w:val="nil"/>
              <w:left w:val="nil"/>
              <w:bottom w:val="single" w:color="auto" w:sz="8" w:space="0"/>
              <w:right w:val="single" w:color="auto" w:sz="8" w:space="0"/>
            </w:tcBorders>
            <w:shd w:val="clear" w:color="auto" w:fill="FFFFFF"/>
            <w:vAlign w:val="center"/>
          </w:tcPr>
          <w:p w14:paraId="3D58CE9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事项办理（行政确认）</w:t>
            </w:r>
          </w:p>
        </w:tc>
        <w:tc>
          <w:tcPr>
            <w:tcW w:w="1876" w:type="dxa"/>
            <w:tcBorders>
              <w:top w:val="nil"/>
              <w:left w:val="nil"/>
              <w:bottom w:val="single" w:color="auto" w:sz="8" w:space="0"/>
              <w:right w:val="single" w:color="auto" w:sz="8" w:space="0"/>
            </w:tcBorders>
            <w:shd w:val="clear" w:color="auto" w:fill="FFFFFF"/>
            <w:vAlign w:val="center"/>
          </w:tcPr>
          <w:p w14:paraId="509A2F6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共11项）1、客运站站级核定。2、公路工程交工质量核验。3、确认特定时段开行包车或者加班车资质。4、巡游出租汽车经营者许可事项变更。5、对在公路桥梁跨越的河道上下游各500米范围内依法进行疏浚作业的公路桥梁安全确认。6、巡游出租汽车车辆经营权到期后，巡游出租汽车经营者拟继续从事经营。7、公路工程工地试验室备案。8、公路工程竣工质量复测。9、出租汽车驾驶员从业资格注册。10、网约车平台公司暂停或终止运营。11、公路施工作业验收。</w:t>
            </w:r>
          </w:p>
        </w:tc>
        <w:tc>
          <w:tcPr>
            <w:tcW w:w="1814" w:type="dxa"/>
            <w:tcBorders>
              <w:top w:val="nil"/>
              <w:left w:val="nil"/>
              <w:bottom w:val="single" w:color="auto" w:sz="8" w:space="0"/>
              <w:right w:val="single" w:color="auto" w:sz="8" w:space="0"/>
            </w:tcBorders>
            <w:shd w:val="clear" w:color="auto" w:fill="FFFFFF"/>
            <w:vAlign w:val="center"/>
          </w:tcPr>
          <w:p w14:paraId="5C5F9CF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每类事项的基本信息、受理条件、设定依据、办理流程、常见问题、收费标准、办理材料目录、办理结果样本</w:t>
            </w:r>
          </w:p>
        </w:tc>
        <w:tc>
          <w:tcPr>
            <w:tcW w:w="1894" w:type="dxa"/>
            <w:tcBorders>
              <w:top w:val="nil"/>
              <w:left w:val="nil"/>
              <w:bottom w:val="single" w:color="auto" w:sz="8" w:space="0"/>
              <w:right w:val="single" w:color="auto" w:sz="8" w:space="0"/>
            </w:tcBorders>
            <w:shd w:val="clear" w:color="auto" w:fill="FFFFFF"/>
            <w:vAlign w:val="center"/>
          </w:tcPr>
          <w:p w14:paraId="6DD9415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《中华人民共和国行政许可法》《中华人民共和国政府信息公开条例》《湖南省行政执法公示办法》等</w:t>
            </w:r>
          </w:p>
        </w:tc>
        <w:tc>
          <w:tcPr>
            <w:tcW w:w="1904" w:type="dxa"/>
            <w:tcBorders>
              <w:top w:val="nil"/>
              <w:left w:val="nil"/>
              <w:bottom w:val="single" w:color="auto" w:sz="8" w:space="0"/>
              <w:right w:val="single" w:color="auto" w:sz="8" w:space="0"/>
            </w:tcBorders>
            <w:shd w:val="clear" w:color="auto" w:fill="FFFFFF"/>
            <w:vAlign w:val="center"/>
          </w:tcPr>
          <w:p w14:paraId="05C0973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执法决定信息在决定作出之日起7个工作日内公开，其他相关信息形成或变更之日起20个工作日内公开（相关法律法规另有规定的，从其规定）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77CA569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p w14:paraId="54C508B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■湖南省行政执法公示平台</w:t>
            </w:r>
          </w:p>
        </w:tc>
        <w:tc>
          <w:tcPr>
            <w:tcW w:w="810" w:type="dxa"/>
            <w:tcBorders>
              <w:top w:val="nil"/>
              <w:left w:val="nil"/>
              <w:bottom w:val="single" w:color="auto" w:sz="8" w:space="0"/>
              <w:right w:val="single" w:color="auto" w:sz="8" w:space="0"/>
            </w:tcBorders>
            <w:shd w:val="clear" w:color="auto" w:fill="FFFFFF"/>
            <w:vAlign w:val="center"/>
          </w:tcPr>
          <w:p w14:paraId="50ABBA4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0FA4EB0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03349C6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692FAD0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76438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351"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14ECACA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19</w:t>
            </w:r>
          </w:p>
        </w:tc>
        <w:tc>
          <w:tcPr>
            <w:tcW w:w="950" w:type="dxa"/>
            <w:tcBorders>
              <w:top w:val="nil"/>
              <w:left w:val="nil"/>
              <w:bottom w:val="single" w:color="auto" w:sz="8" w:space="0"/>
              <w:right w:val="single" w:color="auto" w:sz="8" w:space="0"/>
            </w:tcBorders>
            <w:shd w:val="clear" w:color="auto" w:fill="FFFFFF"/>
            <w:vAlign w:val="center"/>
          </w:tcPr>
          <w:p w14:paraId="495B388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事项办理（行政奖励）</w:t>
            </w:r>
          </w:p>
        </w:tc>
        <w:tc>
          <w:tcPr>
            <w:tcW w:w="1876" w:type="dxa"/>
            <w:tcBorders>
              <w:top w:val="nil"/>
              <w:left w:val="nil"/>
              <w:bottom w:val="single" w:color="auto" w:sz="8" w:space="0"/>
              <w:right w:val="single" w:color="auto" w:sz="8" w:space="0"/>
            </w:tcBorders>
            <w:shd w:val="clear" w:color="auto" w:fill="FFFFFF"/>
            <w:vAlign w:val="center"/>
          </w:tcPr>
          <w:p w14:paraId="06C2B1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（共1项）1、对出租汽车经营者和驾驶员先进事迹的表彰和奖励。</w:t>
            </w:r>
          </w:p>
        </w:tc>
        <w:tc>
          <w:tcPr>
            <w:tcW w:w="1814" w:type="dxa"/>
            <w:tcBorders>
              <w:top w:val="nil"/>
              <w:left w:val="nil"/>
              <w:bottom w:val="single" w:color="auto" w:sz="8" w:space="0"/>
              <w:right w:val="single" w:color="auto" w:sz="8" w:space="0"/>
            </w:tcBorders>
            <w:shd w:val="clear" w:color="auto" w:fill="FFFFFF"/>
            <w:vAlign w:val="center"/>
          </w:tcPr>
          <w:p w14:paraId="3E51133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每类事项的基本信息、受理条件、设定依据、办理流程、常见问题、收费标准、办理材料目录、办理结果样本</w:t>
            </w:r>
          </w:p>
        </w:tc>
        <w:tc>
          <w:tcPr>
            <w:tcW w:w="1894" w:type="dxa"/>
            <w:tcBorders>
              <w:top w:val="nil"/>
              <w:left w:val="nil"/>
              <w:bottom w:val="single" w:color="auto" w:sz="8" w:space="0"/>
              <w:right w:val="single" w:color="auto" w:sz="8" w:space="0"/>
            </w:tcBorders>
            <w:shd w:val="clear" w:color="auto" w:fill="FFFFFF"/>
            <w:vAlign w:val="center"/>
          </w:tcPr>
          <w:p w14:paraId="352A20D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《中华人民共和国行政许可法》《中华人民共和国政府信息公开条例》《湖南省行政执法公示办法》等</w:t>
            </w:r>
          </w:p>
        </w:tc>
        <w:tc>
          <w:tcPr>
            <w:tcW w:w="1904" w:type="dxa"/>
            <w:tcBorders>
              <w:top w:val="nil"/>
              <w:left w:val="nil"/>
              <w:bottom w:val="single" w:color="auto" w:sz="8" w:space="0"/>
              <w:right w:val="single" w:color="auto" w:sz="8" w:space="0"/>
            </w:tcBorders>
            <w:shd w:val="clear" w:color="auto" w:fill="FFFFFF"/>
            <w:vAlign w:val="center"/>
          </w:tcPr>
          <w:p w14:paraId="6AF0DD1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执法决定信息在决定作出之日起7个工作日内公开，其他相关信息形成或变更之日起20个工作日内公开（相关法律法规另有规定的，从其规定）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61D90A2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p w14:paraId="2848B49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■湖南省行政执法公示平台</w:t>
            </w:r>
          </w:p>
        </w:tc>
        <w:tc>
          <w:tcPr>
            <w:tcW w:w="810" w:type="dxa"/>
            <w:tcBorders>
              <w:top w:val="nil"/>
              <w:left w:val="nil"/>
              <w:bottom w:val="single" w:color="auto" w:sz="8" w:space="0"/>
              <w:right w:val="single" w:color="auto" w:sz="8" w:space="0"/>
            </w:tcBorders>
            <w:shd w:val="clear" w:color="auto" w:fill="FFFFFF"/>
            <w:vAlign w:val="center"/>
          </w:tcPr>
          <w:p w14:paraId="233460C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7326788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579E543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213B91A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r w14:paraId="115CC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526" w:hRule="atLeast"/>
          <w:jc w:val="center"/>
        </w:trPr>
        <w:tc>
          <w:tcPr>
            <w:tcW w:w="422" w:type="dxa"/>
            <w:tcBorders>
              <w:top w:val="nil"/>
              <w:left w:val="single" w:color="auto" w:sz="8" w:space="0"/>
              <w:bottom w:val="single" w:color="auto" w:sz="8" w:space="0"/>
              <w:right w:val="single" w:color="auto" w:sz="8" w:space="0"/>
            </w:tcBorders>
            <w:shd w:val="clear" w:color="auto" w:fill="FFFFFF"/>
            <w:vAlign w:val="center"/>
          </w:tcPr>
          <w:p w14:paraId="5C55C2A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20</w:t>
            </w:r>
          </w:p>
        </w:tc>
        <w:tc>
          <w:tcPr>
            <w:tcW w:w="950" w:type="dxa"/>
            <w:tcBorders>
              <w:top w:val="nil"/>
              <w:left w:val="nil"/>
              <w:bottom w:val="single" w:color="auto" w:sz="8" w:space="0"/>
              <w:right w:val="single" w:color="auto" w:sz="8" w:space="0"/>
            </w:tcBorders>
            <w:shd w:val="clear" w:color="auto" w:fill="FFFFFF"/>
            <w:vAlign w:val="center"/>
          </w:tcPr>
          <w:p w14:paraId="2A91405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事项办理（行政裁决）</w:t>
            </w:r>
          </w:p>
        </w:tc>
        <w:tc>
          <w:tcPr>
            <w:tcW w:w="1876" w:type="dxa"/>
            <w:tcBorders>
              <w:top w:val="nil"/>
              <w:left w:val="nil"/>
              <w:bottom w:val="single" w:color="auto" w:sz="8" w:space="0"/>
              <w:right w:val="single" w:color="auto" w:sz="8" w:space="0"/>
            </w:tcBorders>
            <w:shd w:val="clear" w:color="auto" w:fill="FFFFFF"/>
            <w:vAlign w:val="center"/>
          </w:tcPr>
          <w:p w14:paraId="59A920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（共1项）1、裁决客运经营者发车时间安排纠纷。</w:t>
            </w:r>
          </w:p>
        </w:tc>
        <w:tc>
          <w:tcPr>
            <w:tcW w:w="1814" w:type="dxa"/>
            <w:tcBorders>
              <w:top w:val="nil"/>
              <w:left w:val="nil"/>
              <w:bottom w:val="single" w:color="auto" w:sz="8" w:space="0"/>
              <w:right w:val="single" w:color="auto" w:sz="8" w:space="0"/>
            </w:tcBorders>
            <w:shd w:val="clear" w:color="auto" w:fill="FFFFFF"/>
            <w:vAlign w:val="center"/>
          </w:tcPr>
          <w:p w14:paraId="65461A5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每类事项的基本信息、受理条件、设定依据、办理流程、常见问题、收费标准、办理材料目录、办理结果样本</w:t>
            </w:r>
          </w:p>
        </w:tc>
        <w:tc>
          <w:tcPr>
            <w:tcW w:w="1894" w:type="dxa"/>
            <w:tcBorders>
              <w:top w:val="nil"/>
              <w:left w:val="nil"/>
              <w:bottom w:val="single" w:color="auto" w:sz="8" w:space="0"/>
              <w:right w:val="single" w:color="auto" w:sz="8" w:space="0"/>
            </w:tcBorders>
            <w:shd w:val="clear" w:color="auto" w:fill="FFFFFF"/>
            <w:vAlign w:val="center"/>
          </w:tcPr>
          <w:p w14:paraId="6E73DBB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《中华人民共和国行政许可法》《中华人民共和国政府信息公开条例》《湖南省行政执法公示办法》等</w:t>
            </w:r>
          </w:p>
        </w:tc>
        <w:tc>
          <w:tcPr>
            <w:tcW w:w="1904" w:type="dxa"/>
            <w:tcBorders>
              <w:top w:val="nil"/>
              <w:left w:val="nil"/>
              <w:bottom w:val="single" w:color="auto" w:sz="8" w:space="0"/>
              <w:right w:val="single" w:color="auto" w:sz="8" w:space="0"/>
            </w:tcBorders>
            <w:shd w:val="clear" w:color="auto" w:fill="FFFFFF"/>
            <w:vAlign w:val="center"/>
          </w:tcPr>
          <w:p w14:paraId="439C46D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执法决定信息在决定作出之日起7个工作日内公开，其他相关信息形成或变更之日起20个工作日内公开（相关法律法规另有规定的，从其规定）</w:t>
            </w:r>
          </w:p>
        </w:tc>
        <w:tc>
          <w:tcPr>
            <w:tcW w:w="1938" w:type="dxa"/>
            <w:tcBorders>
              <w:top w:val="nil"/>
              <w:left w:val="nil"/>
              <w:bottom w:val="single" w:color="auto" w:sz="8" w:space="0"/>
              <w:right w:val="single" w:color="auto" w:sz="8" w:space="0"/>
            </w:tcBorders>
            <w:shd w:val="clear" w:color="auto" w:fill="FFFFFF"/>
            <w:vAlign w:val="center"/>
          </w:tcPr>
          <w:p w14:paraId="23F41F6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■政府网站</w:t>
            </w:r>
          </w:p>
          <w:p w14:paraId="760E2E5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■湖南省行政执法公示平台</w:t>
            </w:r>
          </w:p>
        </w:tc>
        <w:tc>
          <w:tcPr>
            <w:tcW w:w="810" w:type="dxa"/>
            <w:tcBorders>
              <w:top w:val="nil"/>
              <w:left w:val="nil"/>
              <w:bottom w:val="single" w:color="auto" w:sz="8" w:space="0"/>
              <w:right w:val="single" w:color="auto" w:sz="8" w:space="0"/>
            </w:tcBorders>
            <w:shd w:val="clear" w:color="auto" w:fill="FFFFFF"/>
            <w:vAlign w:val="center"/>
          </w:tcPr>
          <w:p w14:paraId="40E183A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60" w:type="dxa"/>
            <w:tcBorders>
              <w:top w:val="nil"/>
              <w:left w:val="nil"/>
              <w:bottom w:val="single" w:color="auto" w:sz="8" w:space="0"/>
              <w:right w:val="single" w:color="auto" w:sz="8" w:space="0"/>
            </w:tcBorders>
            <w:shd w:val="clear" w:color="auto" w:fill="FFFFFF"/>
            <w:vAlign w:val="center"/>
          </w:tcPr>
          <w:p w14:paraId="73E9BBB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c>
          <w:tcPr>
            <w:tcW w:w="702" w:type="dxa"/>
            <w:tcBorders>
              <w:top w:val="nil"/>
              <w:left w:val="nil"/>
              <w:bottom w:val="single" w:color="auto" w:sz="8" w:space="0"/>
              <w:right w:val="single" w:color="auto" w:sz="8" w:space="0"/>
            </w:tcBorders>
            <w:shd w:val="clear" w:color="auto" w:fill="FFFFFF"/>
            <w:vAlign w:val="center"/>
          </w:tcPr>
          <w:p w14:paraId="22C2150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center"/>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w:t>
            </w:r>
          </w:p>
        </w:tc>
        <w:tc>
          <w:tcPr>
            <w:tcW w:w="818" w:type="dxa"/>
            <w:tcBorders>
              <w:top w:val="nil"/>
              <w:left w:val="nil"/>
              <w:bottom w:val="single" w:color="auto" w:sz="8" w:space="0"/>
              <w:right w:val="single" w:color="auto" w:sz="8" w:space="0"/>
            </w:tcBorders>
            <w:shd w:val="clear" w:color="auto" w:fill="FFFFFF"/>
            <w:vAlign w:val="center"/>
          </w:tcPr>
          <w:p w14:paraId="6C43E72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40"/>
              <w:jc w:val="center"/>
              <w:textAlignment w:val="baseline"/>
              <w:rPr>
                <w:i w:val="0"/>
                <w:iCs w:val="0"/>
                <w:color w:val="auto"/>
                <w:u w:val="none"/>
              </w:rPr>
            </w:pPr>
            <w:r>
              <w:rPr>
                <w:rFonts w:hint="eastAsia" w:ascii="宋体" w:hAnsi="宋体" w:eastAsia="宋体" w:cs="宋体"/>
                <w:i w:val="0"/>
                <w:iCs w:val="0"/>
                <w:caps w:val="0"/>
                <w:color w:val="auto"/>
                <w:spacing w:val="0"/>
                <w:kern w:val="0"/>
                <w:sz w:val="22"/>
                <w:szCs w:val="22"/>
                <w:u w:val="none"/>
                <w:vertAlign w:val="baseline"/>
                <w:lang w:val="en-US" w:eastAsia="zh-CN" w:bidi="ar"/>
              </w:rPr>
              <w:t> </w:t>
            </w:r>
          </w:p>
        </w:tc>
      </w:tr>
    </w:tbl>
    <w:p w14:paraId="3740E26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left"/>
        <w:textAlignment w:val="baseline"/>
        <w:rPr>
          <w:rFonts w:hint="eastAsia" w:ascii="宋体" w:hAnsi="宋体" w:eastAsia="宋体" w:cs="宋体"/>
          <w:i w:val="0"/>
          <w:iCs w:val="0"/>
          <w:caps w:val="0"/>
          <w:color w:val="505050"/>
          <w:spacing w:val="0"/>
          <w:sz w:val="18"/>
          <w:szCs w:val="18"/>
          <w:u w:val="none"/>
        </w:rPr>
      </w:pPr>
      <w:r>
        <w:rPr>
          <w:rFonts w:ascii="仿宋_GB2312" w:hAnsi="宋体" w:eastAsia="仿宋_GB2312" w:cs="仿宋_GB2312"/>
          <w:i w:val="0"/>
          <w:iCs w:val="0"/>
          <w:caps w:val="0"/>
          <w:color w:val="505050"/>
          <w:spacing w:val="0"/>
          <w:sz w:val="32"/>
          <w:szCs w:val="32"/>
          <w:u w:val="none"/>
          <w:shd w:val="clear" w:fill="FFFFFF"/>
          <w:vertAlign w:val="baseline"/>
        </w:rPr>
        <w:t> </w:t>
      </w:r>
    </w:p>
    <w:p w14:paraId="15F39A5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left"/>
        <w:textAlignment w:val="baseline"/>
        <w:rPr>
          <w:rFonts w:hint="eastAsia" w:ascii="宋体" w:hAnsi="宋体" w:eastAsia="宋体" w:cs="宋体"/>
          <w:i w:val="0"/>
          <w:iCs w:val="0"/>
          <w:caps w:val="0"/>
          <w:color w:val="505050"/>
          <w:spacing w:val="0"/>
          <w:sz w:val="18"/>
          <w:szCs w:val="18"/>
          <w:u w:val="none"/>
        </w:rPr>
      </w:pPr>
      <w:r>
        <w:rPr>
          <w:rFonts w:hint="default" w:ascii="仿宋_GB2312" w:hAnsi="宋体" w:eastAsia="仿宋_GB2312" w:cs="仿宋_GB2312"/>
          <w:i w:val="0"/>
          <w:iCs w:val="0"/>
          <w:caps w:val="0"/>
          <w:color w:val="505050"/>
          <w:spacing w:val="0"/>
          <w:sz w:val="32"/>
          <w:szCs w:val="32"/>
          <w:u w:val="none"/>
          <w:shd w:val="clear" w:fill="FFFFFF"/>
          <w:vertAlign w:val="baseline"/>
        </w:rPr>
        <w:t>   </w:t>
      </w:r>
      <w:r>
        <w:rPr>
          <w:rFonts w:hint="eastAsia" w:ascii="宋体" w:hAnsi="宋体" w:eastAsia="宋体" w:cs="宋体"/>
          <w:i w:val="0"/>
          <w:iCs w:val="0"/>
          <w:caps w:val="0"/>
          <w:color w:val="505050"/>
          <w:spacing w:val="0"/>
          <w:sz w:val="22"/>
          <w:szCs w:val="22"/>
          <w:u w:val="none"/>
          <w:shd w:val="clear" w:fill="FFFFFF"/>
          <w:vertAlign w:val="baseline"/>
        </w:rPr>
        <w:t>   注：法律、法规、规章和国家有关规定规定应当主动公开的其他政府信息应及时列入政务公开事项清单。</w:t>
      </w:r>
    </w:p>
    <w:p w14:paraId="414EF067"/>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E1C3CA00-E858-4BFD-A701-F0549B1DF8E2}"/>
  </w:font>
  <w:font w:name="仿宋_GB2312">
    <w:altName w:val="仿宋"/>
    <w:panose1 w:val="00000000000000000000"/>
    <w:charset w:val="00"/>
    <w:family w:val="auto"/>
    <w:pitch w:val="default"/>
    <w:sig w:usb0="00000000" w:usb1="00000000" w:usb2="00000000" w:usb3="00000000" w:csb0="00000000" w:csb1="00000000"/>
    <w:embedRegular r:id="rId2" w:fontKey="{6097580A-B5DB-41B0-BFD5-0BEAA7C6EE9A}"/>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3ODhmOTYzNTIxMjIwZGNkNDcxYTMyM2ExMGUwYzcifQ=="/>
  </w:docVars>
  <w:rsids>
    <w:rsidRoot w:val="6057406E"/>
    <w:rsid w:val="01662845"/>
    <w:rsid w:val="0B6B55CC"/>
    <w:rsid w:val="1F1D2894"/>
    <w:rsid w:val="6057406E"/>
    <w:rsid w:val="627E38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800080"/>
      <w:u w:val="none"/>
    </w:rPr>
  </w:style>
  <w:style w:type="character" w:styleId="9">
    <w:name w:val="Hyperlink"/>
    <w:basedOn w:val="6"/>
    <w:uiPriority w:val="0"/>
    <w:rPr>
      <w:color w:val="0000FF"/>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78</Pages>
  <Words>17624</Words>
  <Characters>18053</Characters>
  <Lines>0</Lines>
  <Paragraphs>0</Paragraphs>
  <TotalTime>26</TotalTime>
  <ScaleCrop>false</ScaleCrop>
  <LinksUpToDate>false</LinksUpToDate>
  <CharactersWithSpaces>18059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2023-10-18T06:20:00Z</dcterms:created>
  <dc:creator>刘斌</dc:creator>
  <cp:lastModifiedBy>Sun</cp:lastModifiedBy>
  <dcterms:modified xsi:type="dcterms:W3CDTF">2025-03-20T03:24:11Z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80DA010F45694D26916BF0EB464DF856_11</vt:lpwstr>
  </property>
  <property fmtid="{D5CDD505-2E9C-101B-9397-08002B2CF9AE}" pid="4" name="KSOTemplateDocerSaveRecord">
    <vt:lpwstr>eyJoZGlkIjoiMzAyY2M5MzcyZmU3NzhiYjYzMTY5MWRmNjBmYzI2NzYiLCJ1c2VySWQiOiIyMzQ2NzI5NjQifQ==</vt:lpwstr>
  </property>
</Properties>
</file>