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_GBK" w:cs="Times New Roman"/>
          <w:sz w:val="52"/>
          <w:szCs w:val="52"/>
        </w:rPr>
      </w:pPr>
      <w:r>
        <w:rPr>
          <w:rFonts w:ascii="Times New Roman" w:hAnsi="Times New Roman" w:eastAsia="方正小标宋_GBK" w:cs="Times New Roman"/>
          <w:sz w:val="52"/>
          <w:szCs w:val="52"/>
        </w:rPr>
        <w:t>202</w:t>
      </w:r>
      <w:r>
        <w:rPr>
          <w:rFonts w:hint="eastAsia" w:eastAsia="方正小标宋_GBK" w:cs="Times New Roman"/>
          <w:sz w:val="52"/>
          <w:szCs w:val="52"/>
          <w:lang w:val="en-US" w:eastAsia="zh-CN"/>
        </w:rPr>
        <w:t>3</w:t>
      </w:r>
      <w:r>
        <w:rPr>
          <w:rFonts w:ascii="Times New Roman" w:hAnsi="Times New Roman" w:eastAsia="方正小标宋_GBK" w:cs="Times New Roman"/>
          <w:sz w:val="52"/>
          <w:szCs w:val="52"/>
        </w:rPr>
        <w:t>年度</w:t>
      </w:r>
      <w:r>
        <w:rPr>
          <w:rFonts w:hint="eastAsia" w:eastAsia="方正小标宋_GBK" w:cs="Times New Roman"/>
          <w:sz w:val="52"/>
          <w:szCs w:val="52"/>
          <w:lang w:val="en-US" w:eastAsia="zh-CN"/>
        </w:rPr>
        <w:t>城步苗族自治县丹口镇人民政府</w:t>
      </w:r>
      <w:r>
        <w:rPr>
          <w:rFonts w:ascii="Times New Roman" w:hAnsi="Times New Roman" w:eastAsia="方正小标宋_GBK" w:cs="Times New Roman"/>
          <w:sz w:val="52"/>
          <w:szCs w:val="52"/>
        </w:rPr>
        <w:t>整体支出</w:t>
      </w:r>
    </w:p>
    <w:p>
      <w:pPr>
        <w:jc w:val="center"/>
        <w:rPr>
          <w:rFonts w:ascii="Times New Roman" w:hAnsi="Times New Roman" w:eastAsia="方正小标宋_GBK" w:cs="Times New Roman"/>
          <w:sz w:val="52"/>
          <w:szCs w:val="52"/>
        </w:rPr>
      </w:pPr>
      <w:r>
        <w:rPr>
          <w:rFonts w:ascii="Times New Roman" w:hAnsi="Times New Roman" w:eastAsia="方正小标宋_GBK" w:cs="Times New Roman"/>
          <w:sz w:val="52"/>
          <w:szCs w:val="52"/>
        </w:rPr>
        <w:t>绩效自评报告</w:t>
      </w:r>
    </w:p>
    <w:p>
      <w:pPr>
        <w:jc w:val="center"/>
        <w:rPr>
          <w:rFonts w:ascii="Times New Roman" w:hAnsi="Times New Roman" w:eastAsia="方正小标宋_GBK" w:cs="Times New Roman"/>
          <w:b/>
          <w:sz w:val="52"/>
          <w:szCs w:val="5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jc w:val="both"/>
        <w:rPr>
          <w:rFonts w:hint="default" w:ascii="仿宋" w:hAnsi="仿宋" w:eastAsia="仿宋" w:cs="仿宋"/>
          <w:sz w:val="40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</w:rPr>
        <w:t>单位名称：</w:t>
      </w:r>
      <w:r>
        <w:rPr>
          <w:rFonts w:hint="eastAsia" w:ascii="仿宋" w:hAnsi="仿宋" w:eastAsia="仿宋" w:cs="仿宋"/>
          <w:sz w:val="40"/>
          <w:szCs w:val="40"/>
          <w:u w:val="single"/>
          <w:lang w:val="en-US" w:eastAsia="zh-CN"/>
        </w:rPr>
        <w:t>城步苗族自治县丹口镇人民政府</w:t>
      </w:r>
      <w:r>
        <w:rPr>
          <w:rFonts w:hint="eastAsia" w:ascii="仿宋" w:hAnsi="仿宋" w:eastAsia="仿宋" w:cs="仿宋"/>
          <w:sz w:val="40"/>
          <w:szCs w:val="40"/>
          <w:u w:val="single"/>
          <w:lang w:eastAsia="zh-CN"/>
        </w:rPr>
        <w:t>（盖章）</w:t>
      </w:r>
      <w:r>
        <w:rPr>
          <w:rFonts w:hint="eastAsia" w:ascii="仿宋" w:hAnsi="仿宋" w:eastAsia="仿宋" w:cs="仿宋"/>
          <w:sz w:val="40"/>
          <w:szCs w:val="40"/>
          <w:u w:val="single"/>
          <w:lang w:val="en-US" w:eastAsia="zh-CN"/>
        </w:rPr>
        <w:t xml:space="preserve">    </w:t>
      </w:r>
    </w:p>
    <w:p>
      <w:pPr>
        <w:spacing w:line="600" w:lineRule="exact"/>
        <w:ind w:firstLine="2800" w:firstLineChars="700"/>
        <w:jc w:val="both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2024</w:t>
      </w:r>
      <w:r>
        <w:rPr>
          <w:rFonts w:hint="eastAsia" w:ascii="仿宋" w:hAnsi="仿宋" w:eastAsia="仿宋" w:cs="仿宋"/>
          <w:sz w:val="40"/>
          <w:szCs w:val="40"/>
        </w:rPr>
        <w:t>年</w:t>
      </w: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40"/>
          <w:szCs w:val="40"/>
        </w:rPr>
        <w:t>月</w:t>
      </w: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31</w:t>
      </w:r>
      <w:r>
        <w:rPr>
          <w:rFonts w:hint="eastAsia" w:ascii="仿宋" w:hAnsi="仿宋" w:eastAsia="仿宋" w:cs="仿宋"/>
          <w:sz w:val="40"/>
          <w:szCs w:val="40"/>
        </w:rPr>
        <w:t>日</w:t>
      </w:r>
    </w:p>
    <w:p/>
    <w:p/>
    <w:p/>
    <w:p/>
    <w:p/>
    <w:p/>
    <w:p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年度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城步苗族自治县丹口镇人民政府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整体支出绩效自评报告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（一）机构设置情况</w:t>
      </w:r>
    </w:p>
    <w:p>
      <w:pPr>
        <w:widowControl/>
        <w:shd w:val="clear" w:color="auto" w:fill="FFFFFF"/>
        <w:spacing w:before="100" w:beforeAutospacing="1" w:after="100" w:afterAutospacing="1" w:line="600" w:lineRule="atLeast"/>
        <w:ind w:firstLine="640"/>
        <w:jc w:val="left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楷体_GB2312" w:eastAsia="楷体_GB2312"/>
          <w:kern w:val="0"/>
          <w:sz w:val="32"/>
          <w:szCs w:val="32"/>
        </w:rPr>
        <w:t>政府设置7个党政机构，即：行政机关、财政所、农业综合服务中心、退役军人事务站、社会综合服务中心、政务(便民）服务中心</w:t>
      </w:r>
      <w:r>
        <w:rPr>
          <w:rFonts w:hint="eastAsia" w:ascii="楷体_GB2312" w:eastAsia="楷体_GB2312"/>
          <w:kern w:val="0"/>
          <w:sz w:val="32"/>
          <w:szCs w:val="32"/>
          <w:lang w:eastAsia="zh-CN"/>
        </w:rPr>
        <w:t>、</w:t>
      </w:r>
      <w:r>
        <w:rPr>
          <w:rFonts w:hint="eastAsia" w:ascii="楷体_GB2312" w:eastAsia="楷体_GB2312"/>
          <w:kern w:val="0"/>
          <w:sz w:val="32"/>
          <w:szCs w:val="32"/>
        </w:rPr>
        <w:t>综合执法大队。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人员编制情况</w:t>
      </w:r>
    </w:p>
    <w:p>
      <w:pPr>
        <w:widowControl/>
        <w:shd w:val="clear" w:color="auto" w:fill="FFFFFF"/>
        <w:spacing w:before="100" w:beforeAutospacing="1" w:after="100" w:afterAutospacing="1" w:line="600" w:lineRule="atLeast"/>
        <w:ind w:firstLine="640"/>
        <w:jc w:val="left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楷体_GB2312" w:eastAsia="楷体_GB2312"/>
          <w:kern w:val="0"/>
          <w:sz w:val="32"/>
          <w:szCs w:val="32"/>
        </w:rPr>
        <w:t>丹口镇人民政府实有人数</w:t>
      </w:r>
      <w:r>
        <w:rPr>
          <w:rFonts w:hint="eastAsia" w:ascii="楷体_GB2312" w:eastAsia="楷体_GB2312"/>
          <w:kern w:val="0"/>
          <w:sz w:val="32"/>
          <w:szCs w:val="32"/>
          <w:lang w:val="en-US" w:eastAsia="zh-CN"/>
        </w:rPr>
        <w:t>86</w:t>
      </w:r>
      <w:r>
        <w:rPr>
          <w:rFonts w:hint="eastAsia" w:ascii="楷体_GB2312" w:eastAsia="楷体_GB2312"/>
          <w:kern w:val="0"/>
          <w:sz w:val="32"/>
          <w:szCs w:val="32"/>
        </w:rPr>
        <w:t>人；其中行政实有数</w:t>
      </w:r>
      <w:r>
        <w:rPr>
          <w:rFonts w:hint="eastAsia" w:ascii="楷体_GB2312" w:eastAsia="楷体_GB2312"/>
          <w:kern w:val="0"/>
          <w:sz w:val="32"/>
          <w:szCs w:val="32"/>
          <w:lang w:val="en-US" w:eastAsia="zh-CN"/>
        </w:rPr>
        <w:t>48</w:t>
      </w:r>
      <w:r>
        <w:rPr>
          <w:rFonts w:hint="eastAsia" w:ascii="楷体_GB2312" w:eastAsia="楷体_GB2312"/>
          <w:kern w:val="0"/>
          <w:sz w:val="32"/>
          <w:szCs w:val="32"/>
        </w:rPr>
        <w:t>人；</w:t>
      </w:r>
      <w:r>
        <w:rPr>
          <w:rFonts w:hint="eastAsia" w:ascii="楷体_GB2312" w:eastAsia="楷体_GB2312"/>
          <w:bCs/>
          <w:sz w:val="32"/>
          <w:szCs w:val="32"/>
        </w:rPr>
        <w:t>财政所实有数</w:t>
      </w:r>
      <w:r>
        <w:rPr>
          <w:rFonts w:hint="eastAsia" w:ascii="楷体_GB2312" w:eastAsia="楷体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kern w:val="0"/>
          <w:sz w:val="32"/>
          <w:szCs w:val="32"/>
        </w:rPr>
        <w:t>人；退役军人事务站实有数3人；政务（便民）服务中心实有数0人；农业综合服务中心实有数2</w:t>
      </w:r>
      <w:r>
        <w:rPr>
          <w:rFonts w:hint="eastAsia" w:ascii="楷体_GB2312" w:eastAsia="楷体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楷体_GB2312" w:eastAsia="楷体_GB2312"/>
          <w:kern w:val="0"/>
          <w:sz w:val="32"/>
          <w:szCs w:val="32"/>
        </w:rPr>
        <w:t>人；社会事务综合服务中心实有数6人</w:t>
      </w:r>
      <w:r>
        <w:rPr>
          <w:rFonts w:hint="eastAsia" w:ascii="楷体_GB2312" w:eastAsia="楷体_GB2312"/>
          <w:kern w:val="0"/>
          <w:sz w:val="32"/>
          <w:szCs w:val="32"/>
          <w:lang w:eastAsia="zh-CN"/>
        </w:rPr>
        <w:t>；</w:t>
      </w:r>
      <w:r>
        <w:rPr>
          <w:rFonts w:hint="eastAsia" w:ascii="楷体_GB2312" w:eastAsia="楷体_GB2312"/>
          <w:kern w:val="0"/>
          <w:sz w:val="32"/>
          <w:szCs w:val="32"/>
        </w:rPr>
        <w:t>行政执法大队6人。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主要职能职责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bookmarkStart w:id="0" w:name="FUNCRESP"/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1、党政综合办公室</w:t>
      </w:r>
    </w:p>
    <w:p>
      <w:pPr>
        <w:spacing w:line="570" w:lineRule="atLeast"/>
        <w:ind w:firstLine="640" w:firstLineChars="200"/>
        <w:rPr>
          <w:rFonts w:hint="eastAsia" w:ascii="楷体_GB2312" w:hAnsi="仿宋" w:eastAsia="楷体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eastAsia="楷体_GB2312"/>
          <w:kern w:val="0"/>
          <w:sz w:val="32"/>
          <w:szCs w:val="32"/>
        </w:rPr>
        <w:t>主要负责镇机关党务和行政事务工作;负责机关文电、机要、保密、信息、会务、档案、督办、政务公开、重点民生实事、后勤保障等工作;负责重要事项的综合协调和重要文稿的起草审核;绩效考核；承担社会经济调查统计等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2、基层党建办公室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主要负责基层党的建设;组织协调辖区内群团组织开展工作;负责机构编制、组织人事、离退休人员的服务管理；负责镇机关、村（社区）相关人员的培训、管理和考核;民族宗教、宣传、意识形态，统一战线等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3、经济发展办公室（加挂农业农村工作办公室牌子）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紧扣城乡基层治理,聚焦新型城镇化等重点工作，承担经济发展规划的制定和落实,第一、二、三产业的指导、管理;负责城镇发展、道路交通项目建设、农村公路养护；负责产业发展、乡镇企业、民营企业、招商引资、推进科技普及工作;负责产品质量、食品药品安全、市场监管工作;负责农村经济、镇农业发展、河长制、水利工作;负责动物检疫防疫工作;承担农民负担监督管理。农村土地承包管理、农民专业合作社组织指导和管理；负责农村环境卫生整治、农村改厕；协调与发展经济相关的其他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4、社会事务办公室（加挂行政审批服务办公室牌子）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负责就业和社会保障、医疗保障、卫生健康、慈善、教育工作;负责行政审批和公共服务事项管理工作;负责协调职业技能培训和劳务输出、劳动争议调解、社会保障服务等。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5、社会治安和应急管理办公室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负责社会治安、维护社会稳定、群众工作和应急管理工作；承担人民来信来访、综治维稳、司法、人民调解、治安联防等工作；协调政法综治、群防群治、安全文明创建、打非治违、禁毒工作等工作。负责宣传贯彻安全生产有关法律、法规、政策;负责安全生产综合监管;负责突发公共事件(如火灾、洪灾、旱灾、地震等自然灾害、事故灾难,公共卫生事件,社会安全事件等)的应急管理和处置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6、自然资源和生态环境办公室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负责宣传贯彻自然资源、生态环境保护、宅基地审批、城镇建设和管理有关法律、法规政策;负责自然资源管理工作;负责保护森林资源；负责与南山国家公园管理局的对接；负责村镇城市规划建设与管理工作、负责基础设施建设与维护工作;负责协调小区物业管理工作；负责生态环境建设、环境保护监督管理工作、旅游、电力、移动通信、邮政等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7、乡村振兴办公室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乡村振兴等重点工作，乡村产业振兴方面的实绩考核，负责易地搬迁、危房改造相关工作。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8、综合行政执法大队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主要负责统筹协调派驻机构和基层执法力量,开展联合执法工作，负责与执法工作相关日常巡查、综合检查、接受投诉举报、协助调查取证。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9、退役军人服务站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负责退役军人事务等工作;主要是做好退役军人关系转接、社保接续、联络接待、困难帮扶、信息采集、情况反映、立功报喜和走访慰问等具体事务，负责做好拥军优属工作和其他退役军人服务工作。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10、社会事务综合服务中心</w:t>
      </w:r>
    </w:p>
    <w:p>
      <w:pPr>
        <w:spacing w:line="570" w:lineRule="atLeas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为群众提供社会事业公共服务。宣传贯彻相关政策方针;负责卫生健康、民政优抚、社会救助、残疾人事业和基本养老、医疗、工伤、失业等社会保险相关事务性工作;为群众文化生活提供服务。组织群众文化活动,繁荣群众文化生活,协助管理文化市场等工作;负责网格化综合管理的事务性、辅助性工作,为网格化管理的巡查、指挥、调度、督办等工作提供技术支撑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11、农业综合服务中心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为农村农业发展、提高农民科技文化水平提供保障和服务。宣传贯彻相关法律、法规、政策;负责农业技术推广应用与指导，农作物病虫害监测与防治,农产品质量监管服务;负责水利基本建设规划与实施,水利实施防洪保安与开发利用,防汛抗旱;负责保护森林资源,推广林业科学技术,加强林区生态建设、森林防火与病虫害防治、林政服务;承办农村经营管理服务方面的工作；负责移民开发工作；负责动物防疫检疫服务，开展畜禽水产品品种改良工作;做好其他相关社会服务等。</w:t>
      </w:r>
    </w:p>
    <w:p>
      <w:pPr>
        <w:spacing w:line="570" w:lineRule="atLeast"/>
        <w:ind w:firstLine="643" w:firstLineChars="200"/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仿宋"/>
          <w:b/>
          <w:color w:val="000000"/>
          <w:sz w:val="32"/>
          <w:szCs w:val="32"/>
          <w:shd w:val="clear" w:color="auto" w:fill="FFFFFF"/>
        </w:rPr>
        <w:t>12、政务（便民）服务中心</w:t>
      </w:r>
    </w:p>
    <w:p>
      <w:pPr>
        <w:spacing w:line="560" w:lineRule="exact"/>
        <w:ind w:firstLine="640" w:firstLineChars="20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负责办理本级和经授权行使的相关行政审批、证照办理,信息咨询、非涉密文件查询服务等事项,进一步优化审批流程,简化审批程序,为村(社区)群众提供优质快捷的政务服务;负责对窗口工作人员的绩效考核工作；受理当事人对窗口及窗口工作人员服务质量、办事效率等方面的投诉等。</w:t>
      </w:r>
      <w:bookmarkEnd w:id="0"/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绩效目标设定情况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1、严格按照预算控制三公经费。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2、加强内部财务管理，严格控制好运行成本。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>
      <w:pPr>
        <w:pStyle w:val="7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cs="Times New Roman"/>
          <w:sz w:val="32"/>
          <w:szCs w:val="32"/>
          <w:lang w:val="en-US" w:eastAsia="zh-CN"/>
        </w:rPr>
        <w:t>1753.38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cs="Times New Roman"/>
          <w:sz w:val="32"/>
          <w:szCs w:val="32"/>
          <w:lang w:val="en-US" w:eastAsia="zh-CN"/>
        </w:rPr>
        <w:t>1750.43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cs="Times New Roman"/>
          <w:sz w:val="32"/>
          <w:szCs w:val="32"/>
          <w:lang w:val="en-US" w:eastAsia="zh-CN"/>
        </w:rPr>
        <w:t>政府性基金预算财政拨款2.95万元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；2023年年初预算安排支出</w:t>
      </w:r>
      <w:r>
        <w:rPr>
          <w:rFonts w:hint="eastAsia" w:cs="Times New Roman"/>
          <w:sz w:val="32"/>
          <w:szCs w:val="32"/>
          <w:lang w:val="en-US" w:eastAsia="zh-CN"/>
        </w:rPr>
        <w:t>1753.38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cs="Times New Roman"/>
          <w:sz w:val="32"/>
          <w:szCs w:val="32"/>
          <w:lang w:val="en-US" w:eastAsia="zh-CN"/>
        </w:rPr>
        <w:t>1745.38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cs="Times New Roman"/>
          <w:sz w:val="32"/>
          <w:szCs w:val="32"/>
          <w:lang w:val="en-US" w:eastAsia="zh-CN"/>
        </w:rPr>
        <w:t>1753.38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cs="Times New Roman"/>
          <w:sz w:val="32"/>
          <w:szCs w:val="32"/>
          <w:lang w:val="en-US" w:eastAsia="zh-CN"/>
        </w:rPr>
        <w:t>646.43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cs="Times New Roman"/>
          <w:sz w:val="32"/>
          <w:szCs w:val="32"/>
          <w:lang w:val="en-US" w:eastAsia="zh-CN"/>
        </w:rPr>
        <w:t>1753.38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cs="Times New Roman"/>
          <w:sz w:val="32"/>
          <w:szCs w:val="32"/>
          <w:lang w:val="en-US" w:eastAsia="zh-CN"/>
        </w:rPr>
        <w:t>1745.38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cs="Times New Roman"/>
          <w:sz w:val="32"/>
          <w:szCs w:val="32"/>
          <w:lang w:val="en-US" w:eastAsia="zh-CN"/>
        </w:rPr>
        <w:t>99.54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cs="Times New Roman"/>
          <w:sz w:val="32"/>
          <w:szCs w:val="32"/>
          <w:lang w:val="en-US" w:eastAsia="zh-CN"/>
        </w:rPr>
        <w:t>0.46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cs="Times New Roman"/>
          <w:sz w:val="32"/>
          <w:szCs w:val="32"/>
          <w:lang w:val="en-US" w:eastAsia="zh-CN"/>
        </w:rPr>
        <w:t>县级预算对我镇的预算追加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9.79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3.43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6.36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cs="Times New Roman"/>
          <w:sz w:val="32"/>
          <w:szCs w:val="32"/>
          <w:lang w:val="en-US" w:eastAsia="zh-CN"/>
        </w:rPr>
        <w:t>89.92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cs="Times New Roman"/>
          <w:sz w:val="32"/>
          <w:szCs w:val="32"/>
          <w:lang w:val="en-US" w:eastAsia="zh-CN"/>
        </w:rPr>
        <w:t>35.54万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cs="Times New Roman"/>
          <w:sz w:val="32"/>
          <w:szCs w:val="32"/>
          <w:lang w:val="en-US" w:eastAsia="zh-CN"/>
        </w:rPr>
        <w:t>26.4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cs="Times New Roman"/>
          <w:sz w:val="32"/>
          <w:szCs w:val="32"/>
          <w:lang w:val="en-US" w:eastAsia="zh-CN"/>
        </w:rPr>
        <w:t>25.98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政府性基金预算支出情况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cs="Times New Roman"/>
          <w:sz w:val="32"/>
          <w:szCs w:val="32"/>
          <w:lang w:val="en-US" w:eastAsia="zh-CN"/>
        </w:rPr>
        <w:t>政府性基金预算财政拨款2.95万元，政府性基金预算支出2.95万元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国有资本经营预算支出情况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本预算单位无国有资本经营的资金使用情况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社会保险基金预算支出情况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本预算单位无社会保险基金的资金使用情况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（一）综合评价结论。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反映自评得分及评价等级。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综合上述自评情况和考核评分情况，我镇绩效评估自评总得分为95分。</w:t>
      </w:r>
    </w:p>
    <w:p>
      <w:pPr>
        <w:numPr>
          <w:ilvl w:val="0"/>
          <w:numId w:val="0"/>
        </w:numPr>
        <w:pBdr>
          <w:bottom w:val="none" w:color="CCCCCC" w:sz="0" w:space="31"/>
        </w:pBdr>
        <w:adjustRightInd w:val="0"/>
        <w:snapToGrid w:val="0"/>
        <w:spacing w:line="540" w:lineRule="exact"/>
        <w:jc w:val="left"/>
        <w:outlineLvl w:val="0"/>
        <w:rPr>
          <w:rFonts w:hint="eastAsia" w:ascii="楷体_GB2312" w:eastAsia="楷体_GB2312"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kern w:val="0"/>
          <w:sz w:val="32"/>
          <w:szCs w:val="32"/>
          <w:lang w:val="en-US" w:eastAsia="zh-CN" w:bidi="ar-SA"/>
        </w:rPr>
        <w:t>（二）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评价指标分析（或综合评价情况）。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、2023年“三公”经费支出9.79万元，其中公务招待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6.36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万元，公车运行经费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3.43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万元，比上年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10.74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万元减少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0.95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万元，同比减少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8.8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%。主要原因是我镇较好的落实了中央和县委县政府要求，厉行节约，压缩一般性行政经费，严格“三公”经费支出的审核把关和规范“三公”经费支出程序。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2、全力谋发展，经济运行稳中向好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年全镇上下坚持按镇党委、政府确定的目标任务，认真贯彻落实上级的重大决策部署，抢抓机遇、加快发展，经济实力明显提升。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3、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倾力办实事，社会事业全面进步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重点民生实事全面推进。根据县202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年重点民生实事项目方案要求，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我镇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为确保民生实事项目落实精准到位，始终坚持实事办实、好事办好、务求实效，将“实”“好”的要求贯穿到实事项目各个环节。疫情防控扎实开展。严格按照“内防扩散、外防输入”原则，扎实做好重点人群排查管控，积极推进疫苗接种，共筑疫情防控安全屏障。新型农村养老保险、城乡居民医保收缴稳步开展。新型农村养老保险、城乡居民医保收缴稳步开展。自建房专项整治深入开展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4、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大力提品质，乡村振兴取得实效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返贫监测帮扶机制不断健全。一是成立防止返贫动态监测和帮扶领导小组，制定出台防止返贫动态监测和帮扶方案。二是严格把握监测户的纳入与消除程序，坚持“有进有出、动态管理”原则，常态化开展监测对象识别、人口自然增减、落实和跟踪帮扶措施、成效及风险消除，做到“应纳尽纳、应扶尽扶、应消尽消”。乡村振兴投入不断加大。完善各村水、电、路等基础设施，发展后劲持续增强。村级集体经济不断壮大。一是对于有资源优势的村级集体，根据其资源特点，因地制宜发展资源经济；对于没有区位优势、资源较少的村级集体，走延长农业产业链、提高农产品加工能力、增加产品附加值的路子。二是充分依托村级集体拥有的自然资源禀赋、经济基础、人文特色等，积极开发、培育特色产业，深入挖掘村级集体资产的综合价值，发展“村级+”合作模式，培植特色优势乡村产业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320" w:firstLineChars="100"/>
        <w:outlineLvl w:val="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、努力促和谐，社会治理扎实推进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640" w:firstLineChars="200"/>
        <w:outlineLvl w:val="0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持续做好安全生产常态化工作。一是严格落实“管行业必须管安全”要求，深入开展重点行业安全隐患大排查行动及燃气安全整治行动、烟花爆竹专项整治行动；稳步推进禁毒工作；积极开展反电诈工作；狠抓防学生溺水工作；持续抓好道路交通安全工作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480" w:firstLineChars="150"/>
        <w:jc w:val="left"/>
        <w:outlineLvl w:val="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楷体_GB2312" w:eastAsia="楷体_GB2312"/>
          <w:kern w:val="0"/>
          <w:sz w:val="32"/>
          <w:szCs w:val="32"/>
        </w:rPr>
        <w:t xml:space="preserve">  </w:t>
      </w:r>
    </w:p>
    <w:p>
      <w:pPr>
        <w:numPr>
          <w:ilvl w:val="0"/>
          <w:numId w:val="0"/>
        </w:numPr>
        <w:pBdr>
          <w:bottom w:val="none" w:color="CCCCCC" w:sz="0" w:space="31"/>
        </w:pBdr>
        <w:adjustRightInd w:val="0"/>
        <w:snapToGrid w:val="0"/>
        <w:spacing w:line="540" w:lineRule="exact"/>
        <w:jc w:val="left"/>
        <w:outlineLvl w:val="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七、存在的问题及原因分析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800" w:firstLineChars="250"/>
        <w:jc w:val="left"/>
        <w:outlineLvl w:val="0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经济欠发达、镇域经济总量小、综合实力不强，加快发展仍是首要任务和头等大事。经济结构不够优化，新兴产业缺乏，主打农产品猕猴桃产业发展规模小、深加工探索严重不足、抗市场风险能力低；美丽乡村建设起步晚、格局低；交通顽疾较突出；农村基础设施建设、群众公共服务需求等公共供给不足；此外财税增收压力大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jc w:val="left"/>
        <w:outlineLvl w:val="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八、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下一步改进措施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640" w:firstLineChars="200"/>
        <w:jc w:val="left"/>
        <w:outlineLvl w:val="0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一)、加强制度建设，规范财务行为。认真清理不切实际的财政财务规章制度，充实和完善有关财政财务管理办法，细化有关财政财务管理规定，使乡镇财政财务管理有章可循。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640" w:firstLineChars="200"/>
        <w:jc w:val="left"/>
        <w:outlineLvl w:val="0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二)、加强预算监管，强化预算监督。财政所要加强乡镇预算执行情况的日常跟踪监督，乡财管理机构也要建立财政资金分配、使用和管理全过程的监督制约机制，做好财政资金的跟踪问效工作，不断加强财政资金使用的绩效分析，使之更加规范化、制度化、科学化，严格控制各项经费的开支，提高经费的使用率。积极引进适合当地民情的经济项目，科学发展经济，带动当地经济的发展，完善丹口镇的建设。提高部门人员的职业素养，增进业务和思想水平，以人民服务为宗旨并承担责任，实现公共利益最大化，转变政府职能，打造真正地服务型政府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640" w:firstLineChars="200"/>
        <w:jc w:val="left"/>
        <w:outlineLvl w:val="0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(三)、严格控制三公经费，公务接待尽量在单位食堂开餐，职工出差乘坐公共交通工具，减少公务用车开支。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800" w:firstLineChars="250"/>
        <w:jc w:val="left"/>
        <w:outlineLvl w:val="0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(四)、积极完善资产管理制度，并保证制度的合法、合规、完整性。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jc w:val="left"/>
        <w:outlineLvl w:val="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九、其他需要说明的情况</w:t>
      </w:r>
    </w:p>
    <w:p>
      <w:pPr>
        <w:pBdr>
          <w:bottom w:val="none" w:color="CCCCCC" w:sz="0" w:space="31"/>
        </w:pBdr>
        <w:adjustRightInd w:val="0"/>
        <w:snapToGrid w:val="0"/>
        <w:spacing w:line="540" w:lineRule="exact"/>
        <w:ind w:firstLine="640" w:firstLineChars="200"/>
        <w:jc w:val="left"/>
        <w:outlineLvl w:val="0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</w:t>
      </w:r>
      <w:r>
        <w:rPr>
          <w:rFonts w:hint="eastAsia" w:asci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报告应包括以下附件：</w:t>
      </w:r>
      <w:bookmarkStart w:id="1" w:name="_GoBack"/>
      <w:bookmarkEnd w:id="1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部门整体支出绩效评价基础数据表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部门整体支出绩效自评表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3、项目支出绩效自评表（每个项目支出一张表！）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134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2060B7"/>
    <w:multiLevelType w:val="singleLevel"/>
    <w:tmpl w:val="312060B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ZTZkNTcwNDM5NmFlNmI2YTliODkzM2NjNTFhZjQifQ=="/>
    <w:docVar w:name="KSO_WPS_MARK_KEY" w:val="2cad2da4-8c74-4208-b950-09c4ddb6f378"/>
  </w:docVars>
  <w:rsids>
    <w:rsidRoot w:val="00000000"/>
    <w:rsid w:val="176F4906"/>
    <w:rsid w:val="18F3727C"/>
    <w:rsid w:val="1EA33F65"/>
    <w:rsid w:val="269E5DD8"/>
    <w:rsid w:val="4B72396B"/>
    <w:rsid w:val="585C70E1"/>
    <w:rsid w:val="635F7193"/>
    <w:rsid w:val="7BB2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249</Words>
  <Characters>263</Characters>
  <Lines>0</Lines>
  <Paragraphs>0</Paragraphs>
  <TotalTime>6</TotalTime>
  <ScaleCrop>false</ScaleCrop>
  <LinksUpToDate>false</LinksUpToDate>
  <CharactersWithSpaces>271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2021-09-17T07:11:00Z</dcterms:created>
  <dc:creator>Administrator</dc:creator>
  <cp:lastModifiedBy>苏苏</cp:lastModifiedBy>
  <dcterms:modified xsi:type="dcterms:W3CDTF">2024-06-05T10:59:18Z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9E42D61D925947D59BC69C1036A25918_13</vt:lpwstr>
  </property>
</Properties>
</file>