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39BA0B">
      <w:pPr>
        <w:jc w:val="both"/>
        <w:rPr>
          <w:rFonts w:ascii="Calibri" w:hAnsi="Calibri" w:eastAsia="Calibri" w:cs="Calibri"/>
          <w:b/>
          <w:sz w:val="44"/>
        </w:rPr>
      </w:pPr>
    </w:p>
    <w:p w14:paraId="2199F776">
      <w:pPr>
        <w:jc w:val="center"/>
        <w:rPr>
          <w:rFonts w:ascii="Calibri" w:hAnsi="Calibri" w:eastAsia="Calibri" w:cs="Calibri"/>
          <w:b/>
          <w:sz w:val="44"/>
        </w:rPr>
      </w:pPr>
      <w:bookmarkStart w:id="0" w:name="_GoBack"/>
      <w:r>
        <w:rPr>
          <w:rFonts w:ascii="宋体" w:hAnsi="宋体" w:eastAsia="宋体" w:cs="宋体"/>
          <w:b/>
          <w:sz w:val="44"/>
        </w:rPr>
        <w:t>关于开展面向未成年人无底线营销食品</w:t>
      </w:r>
    </w:p>
    <w:p w14:paraId="416B4F73">
      <w:pPr>
        <w:jc w:val="center"/>
        <w:rPr>
          <w:rFonts w:ascii="Calibri" w:hAnsi="Calibri" w:eastAsia="Calibri" w:cs="Calibri"/>
          <w:b/>
          <w:sz w:val="44"/>
        </w:rPr>
      </w:pPr>
      <w:r>
        <w:rPr>
          <w:rFonts w:ascii="宋体" w:hAnsi="宋体" w:eastAsia="宋体" w:cs="宋体"/>
          <w:b/>
          <w:sz w:val="44"/>
        </w:rPr>
        <w:t>专项治理工作的实施方案</w:t>
      </w:r>
    </w:p>
    <w:bookmarkEnd w:id="0"/>
    <w:p w14:paraId="2CAF40D4">
      <w:pPr>
        <w:rPr>
          <w:rFonts w:ascii="仿宋" w:hAnsi="仿宋" w:eastAsia="仿宋" w:cs="仿宋"/>
          <w:sz w:val="32"/>
        </w:rPr>
      </w:pPr>
    </w:p>
    <w:p w14:paraId="1F1B99C6">
      <w:pPr>
        <w:ind w:firstLine="640"/>
        <w:rPr>
          <w:rFonts w:ascii="仿宋" w:hAnsi="仿宋" w:eastAsia="仿宋" w:cs="仿宋"/>
          <w:sz w:val="32"/>
        </w:rPr>
      </w:pPr>
      <w:r>
        <w:rPr>
          <w:rFonts w:ascii="仿宋" w:hAnsi="仿宋" w:eastAsia="仿宋" w:cs="仿宋"/>
          <w:sz w:val="32"/>
        </w:rPr>
        <w:t>近期，一些包装或内容含有色情暗示、宣传违背社会风尚的食品，面向未成年人销售，有些甚至成为“网红零食”，引发社会各界高度关注。为深入贯彻落实《未成年人保护法》和《国务院未成年人保护工作领导小组关于加强未成年人保护工作的意见》有关要求，保护未成年人身心健康，全面治理校园及周边、网络平台等面向未成年人无底线营销色情低俗食品现象，现结合我县实际特制订如下专项整治工作实施方案。</w:t>
      </w:r>
    </w:p>
    <w:p w14:paraId="4C029168">
      <w:pPr>
        <w:ind w:firstLine="640"/>
        <w:rPr>
          <w:rFonts w:ascii="黑体" w:hAnsi="黑体" w:eastAsia="黑体" w:cs="黑体"/>
          <w:sz w:val="32"/>
        </w:rPr>
      </w:pPr>
      <w:r>
        <w:rPr>
          <w:rFonts w:ascii="黑体" w:hAnsi="黑体" w:eastAsia="黑体" w:cs="黑体"/>
          <w:sz w:val="32"/>
        </w:rPr>
        <w:t>一、组织领导</w:t>
      </w:r>
    </w:p>
    <w:p w14:paraId="7FCA2B9B">
      <w:pPr>
        <w:ind w:firstLine="640"/>
        <w:rPr>
          <w:rFonts w:ascii="仿宋" w:hAnsi="仿宋" w:eastAsia="仿宋" w:cs="仿宋"/>
          <w:sz w:val="32"/>
        </w:rPr>
      </w:pPr>
      <w:r>
        <w:rPr>
          <w:rFonts w:ascii="仿宋" w:hAnsi="仿宋" w:eastAsia="仿宋" w:cs="仿宋"/>
          <w:sz w:val="32"/>
        </w:rPr>
        <w:t>成立面向未成年人无底线营销食品专项整治工作领导小组，负责对专项整治的全面领导，领导小组成员如下：</w:t>
      </w:r>
    </w:p>
    <w:p w14:paraId="64111DA2">
      <w:pPr>
        <w:ind w:firstLine="640"/>
        <w:rPr>
          <w:rFonts w:ascii="仿宋" w:hAnsi="仿宋" w:eastAsia="仿宋" w:cs="仿宋"/>
          <w:sz w:val="32"/>
        </w:rPr>
      </w:pPr>
      <w:r>
        <w:rPr>
          <w:rFonts w:ascii="仿宋" w:hAnsi="仿宋" w:eastAsia="仿宋" w:cs="仿宋"/>
          <w:sz w:val="32"/>
        </w:rPr>
        <w:t>组      长：</w:t>
      </w:r>
      <w:r>
        <w:rPr>
          <w:rFonts w:hint="eastAsia" w:ascii="仿宋" w:hAnsi="仿宋" w:eastAsia="仿宋" w:cs="仿宋"/>
          <w:sz w:val="32"/>
        </w:rPr>
        <w:t>陈国雄</w:t>
      </w:r>
    </w:p>
    <w:p w14:paraId="6398E919">
      <w:pPr>
        <w:ind w:firstLine="640"/>
        <w:rPr>
          <w:rFonts w:hint="eastAsia" w:ascii="仿宋" w:hAnsi="仿宋" w:eastAsia="仿宋" w:cs="仿宋"/>
          <w:sz w:val="32"/>
        </w:rPr>
      </w:pPr>
      <w:r>
        <w:rPr>
          <w:rFonts w:ascii="仿宋" w:hAnsi="仿宋" w:eastAsia="仿宋" w:cs="仿宋"/>
          <w:sz w:val="32"/>
        </w:rPr>
        <w:t>副  组  长：</w:t>
      </w:r>
      <w:r>
        <w:rPr>
          <w:rFonts w:hint="eastAsia" w:ascii="仿宋" w:hAnsi="仿宋" w:eastAsia="仿宋" w:cs="仿宋"/>
          <w:sz w:val="32"/>
        </w:rPr>
        <w:t>肖  阳（常务）</w:t>
      </w:r>
    </w:p>
    <w:p w14:paraId="76279535">
      <w:pPr>
        <w:ind w:firstLine="640"/>
        <w:rPr>
          <w:rFonts w:ascii="仿宋" w:hAnsi="仿宋" w:eastAsia="仿宋" w:cs="仿宋"/>
          <w:sz w:val="32"/>
        </w:rPr>
      </w:pPr>
      <w:r>
        <w:rPr>
          <w:rFonts w:ascii="仿宋" w:hAnsi="仿宋" w:eastAsia="仿宋" w:cs="仿宋"/>
          <w:sz w:val="32"/>
        </w:rPr>
        <w:t>成      员：</w:t>
      </w:r>
      <w:r>
        <w:rPr>
          <w:rFonts w:hint="eastAsia" w:ascii="仿宋" w:hAnsi="仿宋" w:eastAsia="仿宋" w:cs="仿宋"/>
          <w:sz w:val="32"/>
        </w:rPr>
        <w:t xml:space="preserve">陈紫玲  </w:t>
      </w:r>
      <w:r>
        <w:rPr>
          <w:rFonts w:hint="eastAsia" w:ascii="仿宋" w:hAnsi="仿宋" w:eastAsia="仿宋" w:cs="仿宋"/>
          <w:sz w:val="32"/>
          <w:lang w:eastAsia="zh-CN"/>
        </w:rPr>
        <w:t>杨松利</w:t>
      </w:r>
      <w:r>
        <w:rPr>
          <w:rFonts w:hint="eastAsia" w:ascii="仿宋" w:hAnsi="仿宋" w:eastAsia="仿宋" w:cs="仿宋"/>
          <w:sz w:val="32"/>
        </w:rPr>
        <w:t xml:space="preserve">  各监管所所长</w:t>
      </w:r>
    </w:p>
    <w:p w14:paraId="6495B664">
      <w:pPr>
        <w:ind w:firstLine="640"/>
        <w:rPr>
          <w:rFonts w:ascii="仿宋" w:hAnsi="仿宋" w:eastAsia="仿宋" w:cs="仿宋"/>
          <w:sz w:val="32"/>
        </w:rPr>
      </w:pPr>
      <w:r>
        <w:rPr>
          <w:rFonts w:ascii="仿宋" w:hAnsi="仿宋" w:eastAsia="仿宋" w:cs="仿宋"/>
          <w:sz w:val="32"/>
        </w:rPr>
        <w:t>专项整治领导小组办公室设在食品股，负责牵头组织、整体调度、信息报送等工作。</w:t>
      </w:r>
    </w:p>
    <w:p w14:paraId="2ACBDA3E">
      <w:pPr>
        <w:ind w:firstLine="640"/>
        <w:rPr>
          <w:rFonts w:ascii="仿宋" w:hAnsi="仿宋" w:eastAsia="仿宋" w:cs="仿宋"/>
          <w:sz w:val="32"/>
        </w:rPr>
      </w:pPr>
      <w:r>
        <w:rPr>
          <w:rFonts w:ascii="仿宋" w:hAnsi="仿宋" w:eastAsia="仿宋" w:cs="仿宋"/>
          <w:sz w:val="32"/>
        </w:rPr>
        <w:t>执法大队负责组织查处重大案件、组织发布典型案例、组织集中销毁活动</w:t>
      </w:r>
      <w:r>
        <w:rPr>
          <w:rFonts w:hint="eastAsia" w:ascii="仿宋" w:hAnsi="仿宋" w:eastAsia="仿宋" w:cs="仿宋"/>
          <w:sz w:val="32"/>
        </w:rPr>
        <w:t>，</w:t>
      </w:r>
      <w:r>
        <w:rPr>
          <w:rFonts w:ascii="仿宋" w:hAnsi="仿宋" w:eastAsia="仿宋" w:cs="仿宋"/>
          <w:sz w:val="32"/>
        </w:rPr>
        <w:t>查处不正当竞争行为等相关违法违规行为等工作。</w:t>
      </w:r>
    </w:p>
    <w:p w14:paraId="4E8F5653">
      <w:pPr>
        <w:ind w:firstLine="640"/>
        <w:rPr>
          <w:rFonts w:ascii="仿宋" w:hAnsi="仿宋" w:eastAsia="仿宋" w:cs="仿宋"/>
          <w:sz w:val="32"/>
        </w:rPr>
      </w:pPr>
      <w:r>
        <w:rPr>
          <w:rFonts w:ascii="仿宋" w:hAnsi="仿宋" w:eastAsia="仿宋" w:cs="仿宋"/>
          <w:sz w:val="32"/>
        </w:rPr>
        <w:t>食品股按照职责分工组织各线开展排查整治、督促指导、专项检查等工作。</w:t>
      </w:r>
    </w:p>
    <w:p w14:paraId="7476321F">
      <w:pPr>
        <w:ind w:firstLine="640"/>
        <w:rPr>
          <w:rFonts w:ascii="仿宋" w:hAnsi="仿宋" w:eastAsia="仿宋" w:cs="仿宋"/>
          <w:sz w:val="32"/>
        </w:rPr>
      </w:pPr>
      <w:r>
        <w:rPr>
          <w:rFonts w:ascii="仿宋" w:hAnsi="仿宋" w:eastAsia="仿宋" w:cs="仿宋"/>
          <w:sz w:val="32"/>
        </w:rPr>
        <w:t>各监管所负责辖区内校园及校园周边专项检查等工作。</w:t>
      </w:r>
    </w:p>
    <w:p w14:paraId="6B32E10E">
      <w:pPr>
        <w:ind w:firstLine="640"/>
        <w:rPr>
          <w:rFonts w:ascii="仿宋" w:hAnsi="仿宋" w:eastAsia="仿宋" w:cs="仿宋"/>
          <w:sz w:val="32"/>
        </w:rPr>
      </w:pPr>
      <w:r>
        <w:rPr>
          <w:rFonts w:hint="eastAsia" w:ascii="仿宋" w:hAnsi="仿宋" w:eastAsia="仿宋" w:cs="仿宋"/>
          <w:sz w:val="32"/>
        </w:rPr>
        <w:t>知识产权和</w:t>
      </w:r>
      <w:r>
        <w:rPr>
          <w:rFonts w:ascii="仿宋" w:hAnsi="仿宋" w:eastAsia="仿宋" w:cs="仿宋"/>
          <w:sz w:val="32"/>
        </w:rPr>
        <w:t>广告</w:t>
      </w:r>
      <w:r>
        <w:rPr>
          <w:rFonts w:hint="eastAsia" w:ascii="仿宋" w:hAnsi="仿宋" w:eastAsia="仿宋" w:cs="仿宋"/>
          <w:sz w:val="32"/>
        </w:rPr>
        <w:t>监管</w:t>
      </w:r>
      <w:r>
        <w:rPr>
          <w:rFonts w:ascii="仿宋" w:hAnsi="仿宋" w:eastAsia="仿宋" w:cs="仿宋"/>
          <w:sz w:val="32"/>
        </w:rPr>
        <w:t>股负责组织指导广告监督管理活动和广告监测</w:t>
      </w:r>
      <w:r>
        <w:rPr>
          <w:rFonts w:hint="eastAsia" w:ascii="仿宋" w:hAnsi="仿宋" w:eastAsia="仿宋" w:cs="仿宋"/>
          <w:sz w:val="32"/>
        </w:rPr>
        <w:t>，</w:t>
      </w:r>
      <w:r>
        <w:rPr>
          <w:rFonts w:ascii="仿宋" w:hAnsi="仿宋" w:eastAsia="仿宋" w:cs="仿宋"/>
          <w:sz w:val="32"/>
        </w:rPr>
        <w:t>负责组织指导网络交易平台和网络经营主体规范管理工作</w:t>
      </w:r>
      <w:r>
        <w:rPr>
          <w:rFonts w:hint="eastAsia" w:ascii="仿宋" w:hAnsi="仿宋" w:eastAsia="仿宋" w:cs="仿宋"/>
          <w:sz w:val="32"/>
        </w:rPr>
        <w:t>。</w:t>
      </w:r>
    </w:p>
    <w:p w14:paraId="2A41EF7D">
      <w:pPr>
        <w:ind w:firstLine="640"/>
        <w:rPr>
          <w:rFonts w:ascii="仿宋" w:hAnsi="仿宋" w:eastAsia="仿宋" w:cs="仿宋"/>
          <w:sz w:val="32"/>
        </w:rPr>
      </w:pPr>
      <w:r>
        <w:rPr>
          <w:rFonts w:ascii="黑体" w:hAnsi="黑体" w:eastAsia="黑体" w:cs="黑体"/>
          <w:sz w:val="32"/>
        </w:rPr>
        <w:t>二、重点内容</w:t>
      </w:r>
    </w:p>
    <w:p w14:paraId="3FF7D7E5">
      <w:pPr>
        <w:ind w:firstLine="640"/>
        <w:rPr>
          <w:rFonts w:ascii="仿宋" w:hAnsi="仿宋" w:eastAsia="仿宋" w:cs="仿宋"/>
          <w:sz w:val="32"/>
        </w:rPr>
      </w:pPr>
      <w:r>
        <w:rPr>
          <w:rFonts w:ascii="仿宋" w:hAnsi="仿宋" w:eastAsia="仿宋" w:cs="仿宋"/>
          <w:sz w:val="32"/>
        </w:rPr>
        <w:t>各监管所、执法大队、相关业务股室要结合我县产业发展和日常监管实际、坚持问题导向、聚焦校园及校园周边、电子商务平台及平台网店生产经营的网红零食（恶搞、整蛊、猪饲料零食等）、“三无”食品、辣条等食品、严厉查处食品安全、不正当意争、广告、商标、电子商务等领域的违法行为、从以下方而排查风验隐患、解决突出问题。</w:t>
      </w:r>
    </w:p>
    <w:p w14:paraId="699B77B5">
      <w:pPr>
        <w:ind w:firstLine="640"/>
        <w:rPr>
          <w:rFonts w:ascii="仿宋" w:hAnsi="仿宋" w:eastAsia="仿宋" w:cs="仿宋"/>
          <w:sz w:val="32"/>
        </w:rPr>
      </w:pPr>
      <w:r>
        <w:rPr>
          <w:rFonts w:ascii="楷体" w:hAnsi="楷体" w:eastAsia="楷体" w:cs="楷体"/>
          <w:b/>
          <w:bCs/>
          <w:sz w:val="32"/>
        </w:rPr>
        <w:t>（一）压实食品生产经营者食品安全主体责任。</w:t>
      </w:r>
      <w:r>
        <w:rPr>
          <w:rFonts w:ascii="仿宋" w:hAnsi="仿宋" w:eastAsia="仿宋" w:cs="仿宋"/>
          <w:sz w:val="32"/>
        </w:rPr>
        <w:t>食品生产经营者要严格执行相关规范要求、加强生产经营过程控制和标签标识管理、主动监测上市产品质量安全状况、对存在的隐患及时采取风险控制措施。校园及周边的食品经营者要进行全面自查、严格落实进货查验责任和义务。食品经营者严禁采购、贮存和销售包装或标签标识具有色情、暴力、不良诱导形式或内容危害未成年人身心健康的食品。凡发现存在宣传违反公序良俗、损害未成年人身心健康的食品，经营者要立刻下架。（责任股室：食品</w:t>
      </w:r>
      <w:r>
        <w:rPr>
          <w:rFonts w:hint="eastAsia" w:ascii="仿宋" w:hAnsi="仿宋" w:eastAsia="仿宋" w:cs="仿宋"/>
          <w:sz w:val="32"/>
        </w:rPr>
        <w:t>监管</w:t>
      </w:r>
      <w:r>
        <w:rPr>
          <w:rFonts w:ascii="仿宋" w:hAnsi="仿宋" w:eastAsia="仿宋" w:cs="仿宋"/>
          <w:sz w:val="32"/>
        </w:rPr>
        <w:t>股、</w:t>
      </w:r>
      <w:r>
        <w:rPr>
          <w:rFonts w:hint="eastAsia" w:ascii="仿宋" w:hAnsi="仿宋" w:eastAsia="仿宋" w:cs="仿宋"/>
          <w:sz w:val="32"/>
        </w:rPr>
        <w:t>知识产权和</w:t>
      </w:r>
      <w:r>
        <w:rPr>
          <w:rFonts w:ascii="仿宋" w:hAnsi="仿宋" w:eastAsia="仿宋" w:cs="仿宋"/>
          <w:sz w:val="32"/>
        </w:rPr>
        <w:t>广告</w:t>
      </w:r>
      <w:r>
        <w:rPr>
          <w:rFonts w:hint="eastAsia" w:ascii="仿宋" w:hAnsi="仿宋" w:eastAsia="仿宋" w:cs="仿宋"/>
          <w:sz w:val="32"/>
        </w:rPr>
        <w:t>监管</w:t>
      </w:r>
      <w:r>
        <w:rPr>
          <w:rFonts w:ascii="仿宋" w:hAnsi="仿宋" w:eastAsia="仿宋" w:cs="仿宋"/>
          <w:sz w:val="32"/>
        </w:rPr>
        <w:t>股、执法大队、各监管所）</w:t>
      </w:r>
    </w:p>
    <w:p w14:paraId="49DC69FC">
      <w:pPr>
        <w:ind w:firstLine="640"/>
        <w:rPr>
          <w:rFonts w:ascii="仿宋" w:hAnsi="仿宋" w:eastAsia="仿宋" w:cs="仿宋"/>
          <w:sz w:val="32"/>
        </w:rPr>
      </w:pPr>
      <w:r>
        <w:rPr>
          <w:rFonts w:ascii="楷体" w:hAnsi="楷体" w:eastAsia="楷体" w:cs="楷体"/>
          <w:b/>
          <w:bCs/>
          <w:sz w:val="32"/>
        </w:rPr>
        <w:t>（二）压实电子商务平合管理责任。</w:t>
      </w:r>
      <w:r>
        <w:rPr>
          <w:rFonts w:ascii="仿宋" w:hAnsi="仿宋" w:eastAsia="仿宋" w:cs="仿宋"/>
          <w:sz w:val="32"/>
        </w:rPr>
        <w:t>电子商务平台要依法依规落实入网经营者资质核验、登记等义务，加强对平合内经营者身份信息的管理、公示，全面落实不需要登记的经营者自我声明公示。以无底线营销用语及行为为监测审查重点、开展全面自查、及时清理包装、标签标识违法违规以及违反公序良俗的相关宣传用语和违法广告，对平台内经营者违反法律法规的行为要及时采取警示、暂停或终止服务等措施，并将处理情况报领导小组办公室。（责任股室：食品</w:t>
      </w:r>
      <w:r>
        <w:rPr>
          <w:rFonts w:hint="eastAsia" w:ascii="仿宋" w:hAnsi="仿宋" w:eastAsia="仿宋" w:cs="仿宋"/>
          <w:sz w:val="32"/>
        </w:rPr>
        <w:t>监管</w:t>
      </w:r>
      <w:r>
        <w:rPr>
          <w:rFonts w:ascii="仿宋" w:hAnsi="仿宋" w:eastAsia="仿宋" w:cs="仿宋"/>
          <w:sz w:val="32"/>
        </w:rPr>
        <w:t>股、</w:t>
      </w:r>
      <w:r>
        <w:rPr>
          <w:rFonts w:hint="eastAsia" w:ascii="仿宋" w:hAnsi="仿宋" w:eastAsia="仿宋" w:cs="仿宋"/>
          <w:sz w:val="32"/>
        </w:rPr>
        <w:t>知识产权和</w:t>
      </w:r>
      <w:r>
        <w:rPr>
          <w:rFonts w:ascii="仿宋" w:hAnsi="仿宋" w:eastAsia="仿宋" w:cs="仿宋"/>
          <w:sz w:val="32"/>
        </w:rPr>
        <w:t>广告</w:t>
      </w:r>
      <w:r>
        <w:rPr>
          <w:rFonts w:hint="eastAsia" w:ascii="仿宋" w:hAnsi="仿宋" w:eastAsia="仿宋" w:cs="仿宋"/>
          <w:sz w:val="32"/>
        </w:rPr>
        <w:t>监管</w:t>
      </w:r>
      <w:r>
        <w:rPr>
          <w:rFonts w:ascii="仿宋" w:hAnsi="仿宋" w:eastAsia="仿宋" w:cs="仿宋"/>
          <w:sz w:val="32"/>
        </w:rPr>
        <w:t>股、执法大队、各监管所）</w:t>
      </w:r>
    </w:p>
    <w:p w14:paraId="0BCC5478">
      <w:pPr>
        <w:ind w:firstLine="640"/>
        <w:rPr>
          <w:rFonts w:ascii="仿宋" w:hAnsi="仿宋" w:eastAsia="仿宋" w:cs="仿宋"/>
          <w:sz w:val="32"/>
        </w:rPr>
      </w:pPr>
      <w:r>
        <w:rPr>
          <w:rFonts w:ascii="楷体" w:hAnsi="楷体" w:eastAsia="楷体" w:cs="楷体"/>
          <w:b/>
          <w:bCs/>
          <w:sz w:val="32"/>
        </w:rPr>
        <w:t>（三）充分发挥市场监管“工具箱”作用。</w:t>
      </w:r>
      <w:r>
        <w:rPr>
          <w:rFonts w:ascii="仿宋" w:hAnsi="仿宋" w:eastAsia="仿宋" w:cs="仿宋"/>
          <w:sz w:val="32"/>
        </w:rPr>
        <w:t>综合运用登记注册、日常监管、执法稽查、信用监管等手段实施联合惩戒，重点加强校园及校园周边等区域食品安全日常监管和抽检监测，严厉查处以下违法违规行为：</w:t>
      </w:r>
    </w:p>
    <w:p w14:paraId="3FDB303F">
      <w:pPr>
        <w:ind w:firstLine="640"/>
        <w:rPr>
          <w:rFonts w:ascii="仿宋" w:hAnsi="仿宋" w:eastAsia="仿宋" w:cs="仿宋"/>
          <w:sz w:val="32"/>
        </w:rPr>
      </w:pPr>
      <w:r>
        <w:rPr>
          <w:rFonts w:ascii="仿宋" w:hAnsi="仿宋" w:eastAsia="仿宋" w:cs="仿宋"/>
          <w:sz w:val="32"/>
        </w:rPr>
        <w:t>1、未经许可从事食品生产，生产经营不符合食品安全标准和标签标识不合法的食品；</w:t>
      </w:r>
    </w:p>
    <w:p w14:paraId="43282758">
      <w:pPr>
        <w:ind w:firstLine="640"/>
        <w:rPr>
          <w:rFonts w:ascii="仿宋" w:hAnsi="仿宋" w:eastAsia="仿宋" w:cs="仿宋"/>
          <w:sz w:val="32"/>
        </w:rPr>
      </w:pPr>
      <w:r>
        <w:rPr>
          <w:rFonts w:ascii="仿宋" w:hAnsi="仿宋" w:eastAsia="仿宋" w:cs="仿宋"/>
          <w:sz w:val="32"/>
        </w:rPr>
        <w:t>2、对商品性能、功能作虚假或者引人误解的商业宣传；</w:t>
      </w:r>
    </w:p>
    <w:p w14:paraId="37C638BD">
      <w:pPr>
        <w:ind w:firstLine="640"/>
        <w:rPr>
          <w:rFonts w:ascii="仿宋" w:hAnsi="仿宋" w:eastAsia="仿宋" w:cs="仿宋"/>
          <w:sz w:val="32"/>
        </w:rPr>
      </w:pPr>
      <w:r>
        <w:rPr>
          <w:rFonts w:ascii="仿宋" w:hAnsi="仿宋" w:eastAsia="仿宋" w:cs="仿宋"/>
          <w:sz w:val="32"/>
        </w:rPr>
        <w:t>3、发布恶搞、低俗以及含有色情、软色情内容等违反公序良俗，损害未成年人身心健康的广告；</w:t>
      </w:r>
    </w:p>
    <w:p w14:paraId="0FDFAD96">
      <w:pPr>
        <w:ind w:firstLine="640"/>
        <w:rPr>
          <w:rFonts w:ascii="仿宋" w:hAnsi="仿宋" w:eastAsia="仿宋" w:cs="仿宋"/>
          <w:sz w:val="32"/>
        </w:rPr>
      </w:pPr>
      <w:r>
        <w:rPr>
          <w:rFonts w:ascii="仿宋" w:hAnsi="仿宋" w:eastAsia="仿宋" w:cs="仿宋"/>
          <w:sz w:val="32"/>
        </w:rPr>
        <w:t>4、为“三无产品”等法律、行政法规严禁生产、销售的产品设计、制作、代理、发布广告；</w:t>
      </w:r>
    </w:p>
    <w:p w14:paraId="4A473010">
      <w:pPr>
        <w:ind w:firstLine="640"/>
        <w:rPr>
          <w:rFonts w:ascii="仿宋" w:hAnsi="仿宋" w:eastAsia="仿宋" w:cs="仿宋"/>
          <w:sz w:val="32"/>
        </w:rPr>
      </w:pPr>
      <w:r>
        <w:rPr>
          <w:rFonts w:ascii="仿宋" w:hAnsi="仿宋" w:eastAsia="仿宋" w:cs="仿宋"/>
          <w:sz w:val="32"/>
        </w:rPr>
        <w:t>5、生产经营侵犯注册商标专用权的商品；</w:t>
      </w:r>
    </w:p>
    <w:p w14:paraId="14DBDD98">
      <w:pPr>
        <w:ind w:firstLine="640"/>
        <w:rPr>
          <w:rFonts w:ascii="仿宋" w:hAnsi="仿宋" w:eastAsia="仿宋" w:cs="仿宋"/>
          <w:sz w:val="32"/>
        </w:rPr>
      </w:pPr>
      <w:r>
        <w:rPr>
          <w:rFonts w:ascii="仿宋" w:hAnsi="仿宋" w:eastAsia="仿宋" w:cs="仿宋"/>
          <w:sz w:val="32"/>
        </w:rPr>
        <w:t>6、电子商务平台经营者不履行法定核验登记义务、对违法情形未采取必要处置措施或未向主管部门报告。（责任股室：食品</w:t>
      </w:r>
      <w:r>
        <w:rPr>
          <w:rFonts w:hint="eastAsia" w:ascii="仿宋" w:hAnsi="仿宋" w:eastAsia="仿宋" w:cs="仿宋"/>
          <w:sz w:val="32"/>
        </w:rPr>
        <w:t>监管</w:t>
      </w:r>
      <w:r>
        <w:rPr>
          <w:rFonts w:ascii="仿宋" w:hAnsi="仿宋" w:eastAsia="仿宋" w:cs="仿宋"/>
          <w:sz w:val="32"/>
        </w:rPr>
        <w:t>股、</w:t>
      </w:r>
      <w:r>
        <w:rPr>
          <w:rFonts w:hint="eastAsia" w:ascii="仿宋" w:hAnsi="仿宋" w:eastAsia="仿宋" w:cs="仿宋"/>
          <w:sz w:val="32"/>
        </w:rPr>
        <w:t>知识产权和</w:t>
      </w:r>
      <w:r>
        <w:rPr>
          <w:rFonts w:ascii="仿宋" w:hAnsi="仿宋" w:eastAsia="仿宋" w:cs="仿宋"/>
          <w:sz w:val="32"/>
        </w:rPr>
        <w:t>广告</w:t>
      </w:r>
      <w:r>
        <w:rPr>
          <w:rFonts w:hint="eastAsia" w:ascii="仿宋" w:hAnsi="仿宋" w:eastAsia="仿宋" w:cs="仿宋"/>
          <w:sz w:val="32"/>
        </w:rPr>
        <w:t>监管</w:t>
      </w:r>
      <w:r>
        <w:rPr>
          <w:rFonts w:ascii="仿宋" w:hAnsi="仿宋" w:eastAsia="仿宋" w:cs="仿宋"/>
          <w:sz w:val="32"/>
        </w:rPr>
        <w:t>股、执法大队、各监管所）</w:t>
      </w:r>
    </w:p>
    <w:p w14:paraId="3CF40D9F">
      <w:pPr>
        <w:ind w:firstLine="640"/>
        <w:rPr>
          <w:rFonts w:ascii="黑体" w:hAnsi="黑体" w:eastAsia="黑体" w:cs="黑体"/>
          <w:sz w:val="32"/>
        </w:rPr>
      </w:pPr>
      <w:r>
        <w:rPr>
          <w:rFonts w:ascii="黑体" w:hAnsi="黑体" w:eastAsia="黑体" w:cs="黑体"/>
          <w:sz w:val="32"/>
        </w:rPr>
        <w:t>三、实施步骤</w:t>
      </w:r>
    </w:p>
    <w:p w14:paraId="4E4BA9A3">
      <w:pPr>
        <w:ind w:firstLine="640"/>
        <w:rPr>
          <w:rFonts w:ascii="仿宋" w:hAnsi="仿宋" w:eastAsia="仿宋" w:cs="仿宋"/>
          <w:sz w:val="32"/>
        </w:rPr>
      </w:pPr>
      <w:r>
        <w:rPr>
          <w:rFonts w:ascii="楷体" w:hAnsi="楷体" w:eastAsia="楷体" w:cs="楷体"/>
          <w:b/>
          <w:bCs/>
          <w:sz w:val="32"/>
        </w:rPr>
        <w:t>（一）动员部署。</w:t>
      </w:r>
      <w:r>
        <w:rPr>
          <w:rFonts w:ascii="仿宋" w:hAnsi="仿宋" w:eastAsia="仿宋" w:cs="仿宋"/>
          <w:sz w:val="32"/>
        </w:rPr>
        <w:t>制定实施方案，召开动员部署会，成立专项治理工作领导小组，确定牵头负责人及联络员，统一思想、提高认识，上下联动、一体推进，将任务层层落实、责任到岗到人，（食品股牵头，相关股室配合）</w:t>
      </w:r>
    </w:p>
    <w:p w14:paraId="0ED7384C">
      <w:pPr>
        <w:ind w:firstLine="640"/>
        <w:rPr>
          <w:rFonts w:ascii="仿宋" w:hAnsi="仿宋" w:eastAsia="仿宋" w:cs="仿宋"/>
          <w:sz w:val="32"/>
        </w:rPr>
      </w:pPr>
      <w:r>
        <w:rPr>
          <w:rFonts w:ascii="楷体" w:hAnsi="楷体" w:eastAsia="楷体" w:cs="楷体"/>
          <w:b/>
          <w:bCs/>
          <w:sz w:val="32"/>
        </w:rPr>
        <w:t>（二）全面排查</w:t>
      </w:r>
      <w:r>
        <w:rPr>
          <w:rFonts w:hint="eastAsia" w:ascii="楷体" w:hAnsi="楷体" w:eastAsia="楷体" w:cs="楷体"/>
          <w:b/>
          <w:bCs/>
          <w:sz w:val="32"/>
          <w:lang w:eastAsia="zh-CN"/>
        </w:rPr>
        <w:t>。</w:t>
      </w:r>
      <w:r>
        <w:rPr>
          <w:rFonts w:ascii="仿宋" w:hAnsi="仿宋" w:eastAsia="仿宋" w:cs="仿宋"/>
          <w:sz w:val="32"/>
        </w:rPr>
        <w:t>组织排查全县校园食品生产经营者、督促其严格落实主体责任，梳理在监督检查、抽检监测、案件查办、投诉举报、媒体曝光中反映出的问题线索，对存在的隐患及时采取风险控制措施，重大风险隐患、案件应及时对口上报。</w:t>
      </w:r>
    </w:p>
    <w:p w14:paraId="5003785D">
      <w:pPr>
        <w:ind w:firstLine="640"/>
        <w:rPr>
          <w:rFonts w:ascii="仿宋" w:hAnsi="仿宋" w:eastAsia="仿宋" w:cs="仿宋"/>
          <w:sz w:val="32"/>
        </w:rPr>
      </w:pPr>
      <w:r>
        <w:rPr>
          <w:rFonts w:ascii="楷体" w:hAnsi="楷体" w:eastAsia="楷体" w:cs="楷体"/>
          <w:b/>
          <w:bCs/>
          <w:sz w:val="32"/>
        </w:rPr>
        <w:t>（三）集中整治。</w:t>
      </w:r>
      <w:r>
        <w:rPr>
          <w:rFonts w:ascii="仿宋" w:hAnsi="仿宋" w:eastAsia="仿宋" w:cs="仿宋"/>
          <w:sz w:val="32"/>
        </w:rPr>
        <w:t>各相关业务股室要注重在专项治理中做好日常监督检查工作，严厉查处重点违法行为；针对排查中发现的风险隐患，严格按进度整改，消除问题隐患。</w:t>
      </w:r>
    </w:p>
    <w:p w14:paraId="36FA86E8">
      <w:pPr>
        <w:ind w:firstLine="640"/>
        <w:rPr>
          <w:rFonts w:ascii="仿宋" w:hAnsi="仿宋" w:eastAsia="仿宋" w:cs="仿宋"/>
          <w:sz w:val="32"/>
        </w:rPr>
      </w:pPr>
      <w:r>
        <w:rPr>
          <w:rFonts w:ascii="楷体" w:hAnsi="楷体" w:eastAsia="楷体" w:cs="楷体"/>
          <w:b/>
          <w:bCs/>
          <w:sz w:val="32"/>
        </w:rPr>
        <w:t>（四）总结评估。</w:t>
      </w:r>
      <w:r>
        <w:rPr>
          <w:rFonts w:ascii="仿宋" w:hAnsi="仿宋" w:eastAsia="仿宋" w:cs="仿宋"/>
          <w:sz w:val="32"/>
        </w:rPr>
        <w:t>要全面评估专项治理行动及整改情况，总结经验做法，针对需长期推进的事项建立长效机制，各监管所及相关业务股室于5月5日前向局专项治理领导小组办公室报送工作总结、工作统计表、典型案件、媒体曝光及宣传资料。</w:t>
      </w:r>
    </w:p>
    <w:p w14:paraId="3FA949F0">
      <w:pPr>
        <w:ind w:firstLine="640"/>
        <w:rPr>
          <w:rFonts w:ascii="黑体" w:hAnsi="黑体" w:eastAsia="黑体" w:cs="黑体"/>
          <w:sz w:val="32"/>
        </w:rPr>
      </w:pPr>
      <w:r>
        <w:rPr>
          <w:rFonts w:ascii="黑体" w:hAnsi="黑体" w:eastAsia="黑体" w:cs="黑体"/>
          <w:sz w:val="32"/>
        </w:rPr>
        <w:t>四、宣传工作</w:t>
      </w:r>
    </w:p>
    <w:p w14:paraId="78803940">
      <w:pPr>
        <w:ind w:firstLine="640"/>
        <w:rPr>
          <w:rFonts w:ascii="仿宋" w:hAnsi="仿宋" w:eastAsia="仿宋" w:cs="仿宋"/>
          <w:sz w:val="32"/>
        </w:rPr>
      </w:pPr>
      <w:r>
        <w:rPr>
          <w:rFonts w:ascii="仿宋" w:hAnsi="仿宋" w:eastAsia="仿宋" w:cs="仿宋"/>
          <w:sz w:val="32"/>
        </w:rPr>
        <w:t>全局要将宣传工作贯穿专项行动全过程，积极调动主流媒体、网络媒体和全系统力量，全方位、多层次密集开展宣传。</w:t>
      </w:r>
    </w:p>
    <w:p w14:paraId="37E109BA">
      <w:pPr>
        <w:ind w:firstLine="640"/>
        <w:rPr>
          <w:rFonts w:ascii="仿宋" w:hAnsi="仿宋" w:eastAsia="仿宋" w:cs="仿宋"/>
          <w:sz w:val="32"/>
        </w:rPr>
      </w:pPr>
      <w:r>
        <w:rPr>
          <w:rFonts w:ascii="楷体" w:hAnsi="楷体" w:eastAsia="楷体" w:cs="楷体"/>
          <w:b/>
          <w:bCs/>
          <w:sz w:val="32"/>
        </w:rPr>
        <w:t>（一）加强对青少年的宣传传教育和思想引导。</w:t>
      </w:r>
      <w:r>
        <w:rPr>
          <w:rFonts w:ascii="仿宋" w:hAnsi="仿宋" w:eastAsia="仿宋" w:cs="仿宋"/>
          <w:sz w:val="32"/>
        </w:rPr>
        <w:t>持续加大对学生食品安全与营养健康知识的宣传教育力度、倡导学生养成健康的饮食习惯和消费理念、增强未成年人自觉识别、抵制“无底线营销”食品的能力、形成社会共治良好局面、彻底杜绝以食品名义宣传软色情、低俗信息等有违公序良俗的擦边球行为。</w:t>
      </w:r>
    </w:p>
    <w:p w14:paraId="36E0F1E2">
      <w:pPr>
        <w:ind w:firstLine="640"/>
        <w:rPr>
          <w:rFonts w:ascii="仿宋" w:hAnsi="仿宋" w:eastAsia="仿宋" w:cs="仿宋"/>
          <w:sz w:val="32"/>
        </w:rPr>
      </w:pPr>
      <w:r>
        <w:rPr>
          <w:rFonts w:ascii="楷体" w:hAnsi="楷体" w:eastAsia="楷体" w:cs="楷体"/>
          <w:b/>
          <w:bCs/>
          <w:sz w:val="32"/>
        </w:rPr>
        <w:t>（二）组织权威发声。</w:t>
      </w:r>
      <w:r>
        <w:rPr>
          <w:rFonts w:ascii="仿宋" w:hAnsi="仿宋" w:eastAsia="仿宋" w:cs="仿宋"/>
          <w:sz w:val="32"/>
        </w:rPr>
        <w:t>协调主流媒体对专项行动作权威报道，运用系统内宣传资源，及时报道专项行动进展、做好成果展示。</w:t>
      </w:r>
    </w:p>
    <w:p w14:paraId="31869D07">
      <w:pPr>
        <w:ind w:firstLine="640"/>
        <w:rPr>
          <w:rFonts w:ascii="仿宋" w:hAnsi="仿宋" w:eastAsia="仿宋" w:cs="仿宋"/>
          <w:sz w:val="32"/>
        </w:rPr>
      </w:pPr>
      <w:r>
        <w:rPr>
          <w:rFonts w:ascii="楷体" w:hAnsi="楷体" w:eastAsia="楷体" w:cs="楷体"/>
          <w:b/>
          <w:bCs/>
          <w:sz w:val="32"/>
        </w:rPr>
        <w:t>（三）开展专题宣传。</w:t>
      </w:r>
      <w:r>
        <w:rPr>
          <w:rFonts w:ascii="仿宋" w:hAnsi="仿宋" w:eastAsia="仿宋" w:cs="仿宋"/>
          <w:sz w:val="32"/>
        </w:rPr>
        <w:t>专项行动期间、利用3、15消费者权益保护日”、食品安全宣传周等，组织媒体专访、观场展示、典型案例发布、问题食品销毁等专题活动。</w:t>
      </w:r>
    </w:p>
    <w:p w14:paraId="001FBFCD">
      <w:pPr>
        <w:ind w:firstLine="640"/>
        <w:rPr>
          <w:rFonts w:ascii="黑体" w:hAnsi="黑体" w:eastAsia="黑体" w:cs="黑体"/>
          <w:sz w:val="32"/>
        </w:rPr>
      </w:pPr>
      <w:r>
        <w:rPr>
          <w:rFonts w:ascii="黑体" w:hAnsi="黑体" w:eastAsia="黑体" w:cs="黑体"/>
          <w:sz w:val="32"/>
        </w:rPr>
        <w:t>五、工作要求</w:t>
      </w:r>
    </w:p>
    <w:p w14:paraId="4850513D">
      <w:pPr>
        <w:ind w:firstLine="640"/>
        <w:rPr>
          <w:rFonts w:ascii="仿宋" w:hAnsi="仿宋" w:eastAsia="仿宋" w:cs="仿宋"/>
          <w:sz w:val="32"/>
        </w:rPr>
      </w:pPr>
      <w:r>
        <w:rPr>
          <w:rFonts w:ascii="楷体" w:hAnsi="楷体" w:eastAsia="楷体" w:cs="楷体"/>
          <w:b/>
          <w:bCs/>
          <w:sz w:val="32"/>
        </w:rPr>
        <w:t>（一）提高思想认识。</w:t>
      </w:r>
      <w:r>
        <w:rPr>
          <w:rFonts w:ascii="仿宋" w:hAnsi="仿宋" w:eastAsia="仿宋" w:cs="仿宋"/>
          <w:sz w:val="32"/>
        </w:rPr>
        <w:t>未成年人保护工作关系国家未来和民族振兴。向未成年人无底线营销食品有着严重的社会危害、存在的食品安全问题危害来成年人的生长发育、身体健康，色情、暴力、低俗食品广告和标签违背公序良俗，扰乱未成年人的道德观、价值观、人生观。开展面向未成年人无底线营销食品专项洽理工作是加强保护未成年人身心健康的有力举措，各股室要提高政治站位，高度重视，加强领导、加强协同合作、精心组织落实，确保专项治理行动取得实效。</w:t>
      </w:r>
    </w:p>
    <w:p w14:paraId="64ECB05B">
      <w:pPr>
        <w:ind w:firstLine="640"/>
        <w:rPr>
          <w:rFonts w:ascii="仿宋" w:hAnsi="仿宋" w:eastAsia="仿宋" w:cs="仿宋"/>
          <w:sz w:val="32"/>
        </w:rPr>
      </w:pPr>
      <w:r>
        <w:rPr>
          <w:rFonts w:ascii="楷体" w:hAnsi="楷体" w:eastAsia="楷体" w:cs="楷体"/>
          <w:b/>
          <w:bCs/>
          <w:sz w:val="32"/>
        </w:rPr>
        <w:t>（二）实化工作举措。</w:t>
      </w:r>
      <w:r>
        <w:rPr>
          <w:rFonts w:ascii="仿宋" w:hAnsi="仿宋" w:eastAsia="仿宋" w:cs="仿宋"/>
          <w:sz w:val="32"/>
        </w:rPr>
        <w:t>各股室要把专项治理工作列入工作重点，明确专人负责、务求取得实效，持续加大宣传力度，通过查办一批违法案件、曝光一批典型案例、严惩一批违法分子，形成有效震慑，</w:t>
      </w:r>
    </w:p>
    <w:p w14:paraId="6FE8FD75">
      <w:pPr>
        <w:ind w:firstLine="640"/>
        <w:rPr>
          <w:rFonts w:ascii="仿宋" w:hAnsi="仿宋" w:eastAsia="仿宋" w:cs="仿宋"/>
          <w:sz w:val="32"/>
        </w:rPr>
      </w:pPr>
      <w:r>
        <w:rPr>
          <w:rFonts w:ascii="楷体" w:hAnsi="楷体" w:eastAsia="楷体" w:cs="楷体"/>
          <w:b/>
          <w:bCs/>
          <w:sz w:val="32"/>
        </w:rPr>
        <w:t>（三）及时报送信息。</w:t>
      </w:r>
      <w:r>
        <w:rPr>
          <w:rFonts w:ascii="仿宋" w:hAnsi="仿宋" w:eastAsia="仿宋" w:cs="仿宋"/>
          <w:sz w:val="32"/>
        </w:rPr>
        <w:t>各部门要积极报送工作进展和取得成效，重大问题要及时报告。</w:t>
      </w:r>
    </w:p>
    <w:p w14:paraId="02C38E99">
      <w:pPr>
        <w:rPr>
          <w:rFonts w:ascii="仿宋" w:hAnsi="仿宋" w:eastAsia="仿宋" w:cs="仿宋"/>
          <w:sz w:val="32"/>
        </w:rPr>
      </w:pPr>
    </w:p>
    <w:p w14:paraId="20C7584E">
      <w:pPr>
        <w:rPr>
          <w:rFonts w:ascii="仿宋" w:hAnsi="仿宋" w:eastAsia="仿宋" w:cs="仿宋"/>
          <w:sz w:val="32"/>
        </w:rPr>
      </w:pPr>
      <w:r>
        <w:rPr>
          <w:rFonts w:ascii="仿宋" w:hAnsi="仿宋" w:eastAsia="仿宋" w:cs="仿宋"/>
          <w:sz w:val="32"/>
        </w:rPr>
        <w:t>附件：</w:t>
      </w:r>
    </w:p>
    <w:p w14:paraId="54D02BBB">
      <w:pPr>
        <w:rPr>
          <w:rFonts w:ascii="仿宋" w:hAnsi="仿宋" w:eastAsia="仿宋" w:cs="仿宋"/>
          <w:sz w:val="32"/>
        </w:rPr>
      </w:pPr>
      <w:r>
        <w:rPr>
          <w:rFonts w:ascii="仿宋" w:hAnsi="仿宋" w:eastAsia="仿宋" w:cs="仿宋"/>
          <w:sz w:val="32"/>
        </w:rPr>
        <w:t>1.开展面向未成年人无底线营销食品专项治理工作统计表</w:t>
      </w:r>
    </w:p>
    <w:p w14:paraId="28AC59C7">
      <w:pPr>
        <w:jc w:val="center"/>
        <w:rPr>
          <w:rFonts w:ascii="宋体" w:hAnsi="宋体" w:eastAsia="宋体" w:cs="宋体"/>
          <w:b/>
          <w:sz w:val="44"/>
        </w:rPr>
      </w:pPr>
    </w:p>
    <w:p w14:paraId="6955587A">
      <w:pPr>
        <w:jc w:val="center"/>
        <w:rPr>
          <w:rFonts w:ascii="宋体" w:hAnsi="宋体" w:eastAsia="宋体" w:cs="宋体"/>
          <w:b/>
          <w:sz w:val="44"/>
        </w:rPr>
      </w:pPr>
    </w:p>
    <w:p w14:paraId="69A55EDF">
      <w:pPr>
        <w:jc w:val="center"/>
        <w:rPr>
          <w:rFonts w:ascii="宋体" w:hAnsi="宋体" w:eastAsia="宋体" w:cs="宋体"/>
          <w:b/>
          <w:sz w:val="44"/>
        </w:rPr>
      </w:pPr>
    </w:p>
    <w:p w14:paraId="177B1B03">
      <w:pPr>
        <w:jc w:val="center"/>
        <w:rPr>
          <w:rFonts w:ascii="宋体" w:hAnsi="宋体" w:eastAsia="宋体" w:cs="宋体"/>
          <w:b/>
          <w:sz w:val="44"/>
        </w:rPr>
      </w:pPr>
    </w:p>
    <w:p w14:paraId="3733720E">
      <w:pPr>
        <w:jc w:val="center"/>
        <w:rPr>
          <w:rFonts w:ascii="宋体" w:hAnsi="宋体" w:eastAsia="宋体" w:cs="宋体"/>
          <w:b/>
          <w:sz w:val="44"/>
        </w:rPr>
      </w:pPr>
    </w:p>
    <w:p w14:paraId="0173E26E">
      <w:pPr>
        <w:jc w:val="center"/>
        <w:rPr>
          <w:rFonts w:ascii="宋体" w:hAnsi="宋体" w:eastAsia="宋体" w:cs="宋体"/>
          <w:b/>
          <w:sz w:val="44"/>
        </w:rPr>
      </w:pPr>
    </w:p>
    <w:p w14:paraId="364F4052">
      <w:pPr>
        <w:jc w:val="left"/>
        <w:rPr>
          <w:rFonts w:hint="eastAsia" w:ascii="宋体" w:hAnsi="宋体" w:eastAsia="宋体" w:cs="宋体"/>
          <w:b w:val="0"/>
          <w:bCs/>
          <w:sz w:val="28"/>
          <w:szCs w:val="28"/>
          <w:lang w:val="en-US" w:eastAsia="zh-CN"/>
        </w:rPr>
      </w:pPr>
    </w:p>
    <w:p w14:paraId="0F7A13C2">
      <w:pPr>
        <w:jc w:val="left"/>
        <w:rPr>
          <w:rFonts w:hint="eastAsia" w:ascii="宋体" w:hAnsi="宋体" w:eastAsia="宋体" w:cs="宋体"/>
          <w:b/>
          <w:sz w:val="28"/>
          <w:szCs w:val="28"/>
          <w:lang w:val="en-US" w:eastAsia="zh-CN"/>
        </w:rPr>
      </w:pPr>
      <w:r>
        <w:rPr>
          <w:rFonts w:hint="eastAsia" w:ascii="宋体" w:hAnsi="宋体" w:eastAsia="宋体" w:cs="宋体"/>
          <w:b w:val="0"/>
          <w:bCs/>
          <w:sz w:val="28"/>
          <w:szCs w:val="28"/>
          <w:lang w:val="en-US" w:eastAsia="zh-CN"/>
        </w:rPr>
        <w:t>附件1</w:t>
      </w:r>
    </w:p>
    <w:p w14:paraId="7C0BC529">
      <w:pPr>
        <w:jc w:val="center"/>
        <w:rPr>
          <w:rFonts w:ascii="Calibri" w:hAnsi="Calibri" w:eastAsia="Calibri" w:cs="Calibri"/>
          <w:b/>
          <w:sz w:val="44"/>
        </w:rPr>
      </w:pPr>
      <w:r>
        <w:rPr>
          <w:rFonts w:ascii="宋体" w:hAnsi="宋体" w:eastAsia="宋体" w:cs="宋体"/>
          <w:b/>
          <w:sz w:val="44"/>
        </w:rPr>
        <w:t>开展面向未成年人无底线营销食品</w:t>
      </w:r>
    </w:p>
    <w:p w14:paraId="35AA914B">
      <w:pPr>
        <w:jc w:val="center"/>
        <w:rPr>
          <w:rFonts w:ascii="Calibri" w:hAnsi="Calibri" w:eastAsia="Calibri" w:cs="Calibri"/>
          <w:b/>
          <w:sz w:val="32"/>
        </w:rPr>
      </w:pPr>
      <w:r>
        <w:rPr>
          <w:rFonts w:ascii="宋体" w:hAnsi="宋体" w:eastAsia="宋体" w:cs="宋体"/>
          <w:b/>
          <w:sz w:val="44"/>
        </w:rPr>
        <w:t>专项治理工作统计表</w:t>
      </w:r>
    </w:p>
    <w:p w14:paraId="5379E3BF">
      <w:pPr>
        <w:rPr>
          <w:rFonts w:ascii="仿宋" w:hAnsi="仿宋" w:eastAsia="仿宋" w:cs="仿宋"/>
          <w:sz w:val="32"/>
        </w:rPr>
      </w:pPr>
      <w:r>
        <w:rPr>
          <w:rFonts w:ascii="仿宋" w:hAnsi="仿宋" w:eastAsia="仿宋" w:cs="仿宋"/>
          <w:sz w:val="32"/>
        </w:rPr>
        <w:t>填报单位：</w:t>
      </w:r>
      <w:r>
        <w:rPr>
          <w:rFonts w:hint="eastAsia" w:ascii="仿宋" w:hAnsi="仿宋" w:eastAsia="仿宋" w:cs="仿宋"/>
          <w:sz w:val="32"/>
        </w:rPr>
        <w:t>城步</w:t>
      </w:r>
      <w:r>
        <w:rPr>
          <w:rFonts w:ascii="仿宋" w:hAnsi="仿宋" w:eastAsia="仿宋" w:cs="仿宋"/>
          <w:sz w:val="32"/>
        </w:rPr>
        <w:t>局          填报时间：202</w:t>
      </w:r>
      <w:r>
        <w:rPr>
          <w:rFonts w:hint="eastAsia" w:ascii="仿宋" w:hAnsi="仿宋" w:eastAsia="仿宋" w:cs="仿宋"/>
          <w:sz w:val="32"/>
          <w:lang w:val="en-US" w:eastAsia="zh-CN"/>
        </w:rPr>
        <w:t>4</w:t>
      </w:r>
      <w:r>
        <w:rPr>
          <w:rFonts w:ascii="仿宋" w:hAnsi="仿宋" w:eastAsia="仿宋" w:cs="仿宋"/>
          <w:sz w:val="32"/>
        </w:rPr>
        <w:t>年</w:t>
      </w:r>
      <w:r>
        <w:rPr>
          <w:rFonts w:hint="eastAsia" w:ascii="仿宋" w:hAnsi="仿宋" w:eastAsia="仿宋" w:cs="仿宋"/>
          <w:sz w:val="32"/>
        </w:rPr>
        <w:t xml:space="preserve">  </w:t>
      </w:r>
      <w:r>
        <w:rPr>
          <w:rFonts w:ascii="仿宋" w:hAnsi="仿宋" w:eastAsia="仿宋" w:cs="仿宋"/>
          <w:sz w:val="32"/>
        </w:rPr>
        <w:t>月</w:t>
      </w:r>
      <w:r>
        <w:rPr>
          <w:rFonts w:hint="eastAsia" w:ascii="仿宋" w:hAnsi="仿宋" w:eastAsia="仿宋" w:cs="仿宋"/>
          <w:sz w:val="32"/>
        </w:rPr>
        <w:t xml:space="preserve">  </w:t>
      </w:r>
      <w:r>
        <w:rPr>
          <w:rFonts w:ascii="仿宋" w:hAnsi="仿宋" w:eastAsia="仿宋" w:cs="仿宋"/>
          <w:sz w:val="32"/>
        </w:rPr>
        <w:t>日</w:t>
      </w:r>
    </w:p>
    <w:tbl>
      <w:tblPr>
        <w:tblStyle w:val="4"/>
        <w:tblW w:w="0" w:type="auto"/>
        <w:tblInd w:w="98" w:type="dxa"/>
        <w:tblLayout w:type="autofit"/>
        <w:tblCellMar>
          <w:top w:w="0" w:type="dxa"/>
          <w:left w:w="10" w:type="dxa"/>
          <w:bottom w:w="0" w:type="dxa"/>
          <w:right w:w="10" w:type="dxa"/>
        </w:tblCellMar>
      </w:tblPr>
      <w:tblGrid>
        <w:gridCol w:w="789"/>
        <w:gridCol w:w="5215"/>
        <w:gridCol w:w="1215"/>
        <w:gridCol w:w="1110"/>
      </w:tblGrid>
      <w:tr w14:paraId="6F7501B6">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E3664B3">
            <w:pPr>
              <w:jc w:val="center"/>
            </w:pPr>
            <w:r>
              <w:rPr>
                <w:rFonts w:ascii="仿宋" w:hAnsi="仿宋" w:eastAsia="仿宋" w:cs="仿宋"/>
                <w:sz w:val="28"/>
              </w:rPr>
              <w:t>序号</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40D6F08">
            <w:pPr>
              <w:jc w:val="center"/>
            </w:pPr>
            <w:r>
              <w:rPr>
                <w:rFonts w:ascii="仿宋" w:hAnsi="仿宋" w:eastAsia="仿宋" w:cs="仿宋"/>
                <w:sz w:val="28"/>
              </w:rPr>
              <w:t>类别</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B71746D">
            <w:pPr>
              <w:jc w:val="center"/>
            </w:pPr>
            <w:r>
              <w:rPr>
                <w:rFonts w:ascii="仿宋" w:hAnsi="仿宋" w:eastAsia="仿宋" w:cs="仿宋"/>
                <w:sz w:val="28"/>
              </w:rPr>
              <w:t>单位</w:t>
            </w:r>
          </w:p>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207B27A">
            <w:pPr>
              <w:jc w:val="center"/>
            </w:pPr>
            <w:r>
              <w:rPr>
                <w:rFonts w:ascii="仿宋" w:hAnsi="仿宋" w:eastAsia="仿宋" w:cs="仿宋"/>
                <w:sz w:val="28"/>
              </w:rPr>
              <w:t>数量</w:t>
            </w:r>
          </w:p>
        </w:tc>
      </w:tr>
      <w:tr w14:paraId="7BBD8918">
        <w:tblPrEx>
          <w:tblCellMar>
            <w:top w:w="0" w:type="dxa"/>
            <w:left w:w="10" w:type="dxa"/>
            <w:bottom w:w="0" w:type="dxa"/>
            <w:right w:w="10" w:type="dxa"/>
          </w:tblCellMar>
        </w:tblPrEx>
        <w:trPr>
          <w:trHeight w:val="476" w:hRule="atLeast"/>
        </w:trPr>
        <w:tc>
          <w:tcPr>
            <w:tcW w:w="789"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7A9EED3">
            <w:pPr>
              <w:jc w:val="center"/>
            </w:pPr>
            <w:r>
              <w:rPr>
                <w:rFonts w:ascii="仿宋" w:hAnsi="仿宋" w:eastAsia="仿宋" w:cs="仿宋"/>
                <w:sz w:val="28"/>
              </w:rPr>
              <w:t>1</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6AA2C1D">
            <w:r>
              <w:rPr>
                <w:rFonts w:ascii="仿宋" w:hAnsi="仿宋" w:eastAsia="仿宋" w:cs="仿宋"/>
                <w:sz w:val="28"/>
              </w:rPr>
              <w:t>检查电子商务平台</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76A13CC"/>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78E4F00">
            <w:pPr>
              <w:rPr>
                <w:rFonts w:ascii="宋体" w:hAnsi="宋体" w:eastAsia="宋体" w:cs="宋体"/>
                <w:sz w:val="22"/>
              </w:rPr>
            </w:pPr>
          </w:p>
        </w:tc>
      </w:tr>
      <w:tr w14:paraId="10239E1C">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A101ABE">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6F86C17">
            <w:r>
              <w:rPr>
                <w:rFonts w:ascii="仿宋" w:hAnsi="仿宋" w:eastAsia="仿宋" w:cs="仿宋"/>
                <w:sz w:val="28"/>
              </w:rPr>
              <w:t>其中：网络食品经营者</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D8CE786"/>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4587581">
            <w:pPr>
              <w:rPr>
                <w:rFonts w:ascii="宋体" w:hAnsi="宋体" w:eastAsia="宋体" w:cs="宋体"/>
                <w:sz w:val="22"/>
              </w:rPr>
            </w:pPr>
          </w:p>
        </w:tc>
      </w:tr>
      <w:tr w14:paraId="5C495FD2">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BE57396">
            <w:pPr>
              <w:jc w:val="center"/>
            </w:pPr>
            <w:r>
              <w:rPr>
                <w:rFonts w:ascii="仿宋" w:hAnsi="仿宋" w:eastAsia="仿宋" w:cs="仿宋"/>
                <w:sz w:val="28"/>
              </w:rPr>
              <w:t>2</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1C703FA">
            <w:r>
              <w:rPr>
                <w:rFonts w:ascii="仿宋" w:hAnsi="仿宋" w:eastAsia="仿宋" w:cs="仿宋"/>
                <w:sz w:val="28"/>
              </w:rPr>
              <w:t>检查食品生产主体</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68F5DAF"/>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BD1946D">
            <w:pPr>
              <w:rPr>
                <w:rFonts w:ascii="宋体" w:hAnsi="宋体" w:eastAsia="宋体" w:cs="宋体"/>
                <w:sz w:val="22"/>
              </w:rPr>
            </w:pPr>
          </w:p>
        </w:tc>
      </w:tr>
      <w:tr w14:paraId="6759B5F6">
        <w:tblPrEx>
          <w:tblCellMar>
            <w:top w:w="0" w:type="dxa"/>
            <w:left w:w="10" w:type="dxa"/>
            <w:bottom w:w="0" w:type="dxa"/>
            <w:right w:w="10" w:type="dxa"/>
          </w:tblCellMar>
        </w:tblPrEx>
        <w:trPr>
          <w:trHeight w:val="476" w:hRule="atLeast"/>
        </w:trPr>
        <w:tc>
          <w:tcPr>
            <w:tcW w:w="789"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E9DB93B">
            <w:pPr>
              <w:jc w:val="center"/>
            </w:pPr>
            <w:r>
              <w:rPr>
                <w:rFonts w:ascii="仿宋" w:hAnsi="仿宋" w:eastAsia="仿宋" w:cs="仿宋"/>
                <w:sz w:val="28"/>
              </w:rPr>
              <w:t>3</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15025EB">
            <w:r>
              <w:rPr>
                <w:rFonts w:ascii="仿宋" w:hAnsi="仿宋" w:eastAsia="仿宋" w:cs="仿宋"/>
                <w:sz w:val="28"/>
              </w:rPr>
              <w:t>检查食品经营主体</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6ABBA9C"/>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B448B1F">
            <w:pPr>
              <w:rPr>
                <w:rFonts w:ascii="宋体" w:hAnsi="宋体" w:eastAsia="宋体" w:cs="宋体"/>
                <w:sz w:val="22"/>
              </w:rPr>
            </w:pPr>
          </w:p>
        </w:tc>
      </w:tr>
      <w:tr w14:paraId="66C27DBB">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22337E4">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594C1FE">
            <w:r>
              <w:rPr>
                <w:rFonts w:ascii="仿宋" w:hAnsi="仿宋" w:eastAsia="仿宋" w:cs="仿宋"/>
                <w:sz w:val="28"/>
              </w:rPr>
              <w:t>其中：学校内食品经营者</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26250EC"/>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4D95EF8">
            <w:pPr>
              <w:rPr>
                <w:rFonts w:ascii="宋体" w:hAnsi="宋体" w:eastAsia="宋体" w:cs="宋体"/>
                <w:sz w:val="22"/>
              </w:rPr>
            </w:pPr>
          </w:p>
        </w:tc>
      </w:tr>
      <w:tr w14:paraId="16A38275">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F0351C0">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D9327C7">
            <w:r>
              <w:rPr>
                <w:rFonts w:ascii="仿宋" w:hAnsi="仿宋" w:eastAsia="仿宋" w:cs="仿宋"/>
                <w:sz w:val="28"/>
              </w:rPr>
              <w:t>校园周边食品经营者</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9A0E1C8"/>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123576A">
            <w:pPr>
              <w:rPr>
                <w:rFonts w:ascii="宋体" w:hAnsi="宋体" w:eastAsia="宋体" w:cs="宋体"/>
                <w:sz w:val="22"/>
              </w:rPr>
            </w:pPr>
          </w:p>
        </w:tc>
      </w:tr>
      <w:tr w14:paraId="45F34344">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8736451">
            <w:pPr>
              <w:jc w:val="center"/>
            </w:pPr>
            <w:r>
              <w:rPr>
                <w:rFonts w:ascii="仿宋" w:hAnsi="仿宋" w:eastAsia="仿宋" w:cs="仿宋"/>
                <w:sz w:val="28"/>
              </w:rPr>
              <w:t>4</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88065F0">
            <w:r>
              <w:rPr>
                <w:rFonts w:ascii="仿宋" w:hAnsi="仿宋" w:eastAsia="仿宋" w:cs="仿宋"/>
                <w:sz w:val="28"/>
              </w:rPr>
              <w:t>查处无证无照生产经营主体</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A23B6ED"/>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50EE622">
            <w:pPr>
              <w:rPr>
                <w:rFonts w:ascii="宋体" w:hAnsi="宋体" w:eastAsia="宋体" w:cs="宋体"/>
                <w:sz w:val="22"/>
              </w:rPr>
            </w:pPr>
          </w:p>
        </w:tc>
      </w:tr>
      <w:tr w14:paraId="79FFB1D5">
        <w:tblPrEx>
          <w:tblCellMar>
            <w:top w:w="0" w:type="dxa"/>
            <w:left w:w="10" w:type="dxa"/>
            <w:bottom w:w="0" w:type="dxa"/>
            <w:right w:w="10" w:type="dxa"/>
          </w:tblCellMar>
        </w:tblPrEx>
        <w:trPr>
          <w:trHeight w:val="476" w:hRule="atLeast"/>
        </w:trPr>
        <w:tc>
          <w:tcPr>
            <w:tcW w:w="789"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EF568D3">
            <w:pPr>
              <w:jc w:val="center"/>
            </w:pPr>
            <w:r>
              <w:rPr>
                <w:rFonts w:ascii="仿宋" w:hAnsi="仿宋" w:eastAsia="仿宋" w:cs="仿宋"/>
                <w:sz w:val="28"/>
              </w:rPr>
              <w:t>5</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13CC12D">
            <w:r>
              <w:rPr>
                <w:rFonts w:ascii="仿宋" w:hAnsi="仿宋" w:eastAsia="仿宋" w:cs="仿宋"/>
                <w:sz w:val="28"/>
              </w:rPr>
              <w:t>吊销食品生产经营许可证</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196477E"/>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8F612CB">
            <w:pPr>
              <w:rPr>
                <w:rFonts w:ascii="宋体" w:hAnsi="宋体" w:eastAsia="宋体" w:cs="宋体"/>
                <w:sz w:val="22"/>
              </w:rPr>
            </w:pPr>
          </w:p>
        </w:tc>
      </w:tr>
      <w:tr w14:paraId="1F1B01A5">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81A59D0">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C3177C1">
            <w:r>
              <w:rPr>
                <w:rFonts w:ascii="仿宋" w:hAnsi="仿宋" w:eastAsia="仿宋" w:cs="仿宋"/>
                <w:sz w:val="28"/>
              </w:rPr>
              <w:t>其中：吊销食品生产许可证</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F976A65"/>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3639CA9">
            <w:pPr>
              <w:rPr>
                <w:rFonts w:ascii="宋体" w:hAnsi="宋体" w:eastAsia="宋体" w:cs="宋体"/>
                <w:sz w:val="22"/>
              </w:rPr>
            </w:pPr>
          </w:p>
        </w:tc>
      </w:tr>
      <w:tr w14:paraId="430F0719">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F981EC8">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D6E4107">
            <w:r>
              <w:rPr>
                <w:rFonts w:ascii="仿宋" w:hAnsi="仿宋" w:eastAsia="仿宋" w:cs="仿宋"/>
                <w:sz w:val="28"/>
              </w:rPr>
              <w:t>吊销食品经营许可证</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6A6ED57"/>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D4A8B95">
            <w:pPr>
              <w:rPr>
                <w:rFonts w:ascii="宋体" w:hAnsi="宋体" w:eastAsia="宋体" w:cs="宋体"/>
                <w:sz w:val="22"/>
              </w:rPr>
            </w:pPr>
          </w:p>
        </w:tc>
      </w:tr>
      <w:tr w14:paraId="336CF57A">
        <w:tblPrEx>
          <w:tblCellMar>
            <w:top w:w="0" w:type="dxa"/>
            <w:left w:w="10" w:type="dxa"/>
            <w:bottom w:w="0" w:type="dxa"/>
            <w:right w:w="10" w:type="dxa"/>
          </w:tblCellMar>
        </w:tblPrEx>
        <w:trPr>
          <w:trHeight w:val="476" w:hRule="atLeast"/>
        </w:trPr>
        <w:tc>
          <w:tcPr>
            <w:tcW w:w="789"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5AF9E27">
            <w:pPr>
              <w:jc w:val="center"/>
            </w:pPr>
            <w:r>
              <w:rPr>
                <w:rFonts w:ascii="仿宋" w:hAnsi="仿宋" w:eastAsia="仿宋" w:cs="仿宋"/>
                <w:sz w:val="28"/>
              </w:rPr>
              <w:t>6</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32323FB">
            <w:r>
              <w:rPr>
                <w:rFonts w:ascii="仿宋" w:hAnsi="仿宋" w:eastAsia="仿宋" w:cs="仿宋"/>
                <w:sz w:val="28"/>
              </w:rPr>
              <w:t>行政处罚案件</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D10B340"/>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6FE3D7F">
            <w:pPr>
              <w:rPr>
                <w:rFonts w:ascii="宋体" w:hAnsi="宋体" w:eastAsia="宋体" w:cs="宋体"/>
                <w:sz w:val="22"/>
              </w:rPr>
            </w:pPr>
          </w:p>
        </w:tc>
      </w:tr>
      <w:tr w14:paraId="59CB9196">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3E937FC">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A4E17CA">
            <w:r>
              <w:rPr>
                <w:rFonts w:ascii="仿宋" w:hAnsi="仿宋" w:eastAsia="仿宋" w:cs="仿宋"/>
                <w:sz w:val="28"/>
              </w:rPr>
              <w:t>其中：没收“低价营销食品”数量</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A3BA3C8"/>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BDD3EDE">
            <w:pPr>
              <w:rPr>
                <w:rFonts w:ascii="宋体" w:hAnsi="宋体" w:eastAsia="宋体" w:cs="宋体"/>
                <w:sz w:val="22"/>
              </w:rPr>
            </w:pPr>
          </w:p>
        </w:tc>
      </w:tr>
      <w:tr w14:paraId="09CB464A">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1CA9363">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EDA941F">
            <w:r>
              <w:rPr>
                <w:rFonts w:ascii="仿宋" w:hAnsi="仿宋" w:eastAsia="仿宋" w:cs="仿宋"/>
                <w:sz w:val="28"/>
              </w:rPr>
              <w:t>“低价营销食品”货值</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90692ED"/>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A1C0E37">
            <w:pPr>
              <w:rPr>
                <w:rFonts w:ascii="宋体" w:hAnsi="宋体" w:eastAsia="宋体" w:cs="宋体"/>
                <w:sz w:val="22"/>
              </w:rPr>
            </w:pPr>
          </w:p>
        </w:tc>
      </w:tr>
      <w:tr w14:paraId="0EDD02F2">
        <w:tblPrEx>
          <w:tblCellMar>
            <w:top w:w="0" w:type="dxa"/>
            <w:left w:w="10" w:type="dxa"/>
            <w:bottom w:w="0" w:type="dxa"/>
            <w:right w:w="10" w:type="dxa"/>
          </w:tblCellMar>
        </w:tblPrEx>
        <w:trPr>
          <w:trHeight w:val="476" w:hRule="atLeast"/>
        </w:trPr>
        <w:tc>
          <w:tcPr>
            <w:tcW w:w="789"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C71DF29">
            <w:pPr>
              <w:jc w:val="center"/>
              <w:rPr>
                <w:rFonts w:ascii="宋体" w:hAnsi="宋体" w:eastAsia="宋体" w:cs="宋体"/>
                <w:sz w:val="22"/>
              </w:rPr>
            </w:pP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954EE89">
            <w:r>
              <w:rPr>
                <w:rFonts w:ascii="仿宋" w:hAnsi="仿宋" w:eastAsia="仿宋" w:cs="仿宋"/>
                <w:sz w:val="28"/>
              </w:rPr>
              <w:t>罚没金额</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33F05CB"/>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409EB790">
            <w:pPr>
              <w:rPr>
                <w:rFonts w:ascii="宋体" w:hAnsi="宋体" w:eastAsia="宋体" w:cs="宋体"/>
                <w:sz w:val="22"/>
              </w:rPr>
            </w:pPr>
          </w:p>
        </w:tc>
      </w:tr>
      <w:tr w14:paraId="651D3D43">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317DD86">
            <w:pPr>
              <w:jc w:val="center"/>
            </w:pPr>
            <w:r>
              <w:rPr>
                <w:rFonts w:ascii="仿宋" w:hAnsi="仿宋" w:eastAsia="仿宋" w:cs="仿宋"/>
                <w:sz w:val="28"/>
              </w:rPr>
              <w:t>7</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9849EE8">
            <w:r>
              <w:rPr>
                <w:rFonts w:ascii="仿宋" w:hAnsi="仿宋" w:eastAsia="仿宋" w:cs="仿宋"/>
                <w:sz w:val="28"/>
              </w:rPr>
              <w:t>治安案件</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DE7FCBA"/>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9820A9F">
            <w:pPr>
              <w:rPr>
                <w:rFonts w:ascii="宋体" w:hAnsi="宋体" w:eastAsia="宋体" w:cs="宋体"/>
                <w:sz w:val="22"/>
              </w:rPr>
            </w:pPr>
          </w:p>
        </w:tc>
      </w:tr>
      <w:tr w14:paraId="4DCE22F0">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AFE513E">
            <w:pPr>
              <w:jc w:val="center"/>
            </w:pPr>
            <w:r>
              <w:rPr>
                <w:rFonts w:ascii="仿宋" w:hAnsi="仿宋" w:eastAsia="仿宋" w:cs="仿宋"/>
                <w:sz w:val="28"/>
              </w:rPr>
              <w:t>8</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174F82B">
            <w:r>
              <w:rPr>
                <w:rFonts w:ascii="仿宋" w:hAnsi="仿宋" w:eastAsia="仿宋" w:cs="仿宋"/>
                <w:sz w:val="28"/>
              </w:rPr>
              <w:t>刑事案件</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1D76791"/>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D340C48">
            <w:pPr>
              <w:rPr>
                <w:rFonts w:ascii="宋体" w:hAnsi="宋体" w:eastAsia="宋体" w:cs="宋体"/>
                <w:sz w:val="22"/>
              </w:rPr>
            </w:pPr>
          </w:p>
        </w:tc>
      </w:tr>
      <w:tr w14:paraId="05FF1221">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C4E61BA">
            <w:pPr>
              <w:jc w:val="center"/>
            </w:pPr>
            <w:r>
              <w:rPr>
                <w:rFonts w:ascii="仿宋" w:hAnsi="仿宋" w:eastAsia="仿宋" w:cs="仿宋"/>
                <w:sz w:val="28"/>
              </w:rPr>
              <w:t>9</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CA31D43">
            <w:r>
              <w:rPr>
                <w:rFonts w:ascii="仿宋" w:hAnsi="仿宋" w:eastAsia="仿宋" w:cs="仿宋"/>
                <w:sz w:val="28"/>
              </w:rPr>
              <w:t>查处行政违法人员</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0D9CD49C"/>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D840C62">
            <w:pPr>
              <w:rPr>
                <w:rFonts w:ascii="宋体" w:hAnsi="宋体" w:eastAsia="宋体" w:cs="宋体"/>
                <w:sz w:val="22"/>
              </w:rPr>
            </w:pPr>
          </w:p>
        </w:tc>
      </w:tr>
      <w:tr w14:paraId="3F30B077">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F213CAD">
            <w:pPr>
              <w:jc w:val="center"/>
            </w:pPr>
            <w:r>
              <w:rPr>
                <w:rFonts w:ascii="仿宋" w:hAnsi="仿宋" w:eastAsia="仿宋" w:cs="仿宋"/>
                <w:sz w:val="28"/>
              </w:rPr>
              <w:t>10</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5355F95">
            <w:r>
              <w:rPr>
                <w:rFonts w:ascii="仿宋" w:hAnsi="仿宋" w:eastAsia="仿宋" w:cs="仿宋"/>
                <w:sz w:val="28"/>
              </w:rPr>
              <w:t>抓获犯罪嫌疑人员</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BB6633C"/>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641FC50">
            <w:pPr>
              <w:rPr>
                <w:rFonts w:ascii="宋体" w:hAnsi="宋体" w:eastAsia="宋体" w:cs="宋体"/>
                <w:sz w:val="22"/>
              </w:rPr>
            </w:pPr>
          </w:p>
        </w:tc>
      </w:tr>
      <w:tr w14:paraId="0421947E">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F05F870">
            <w:pPr>
              <w:jc w:val="center"/>
            </w:pPr>
            <w:r>
              <w:rPr>
                <w:rFonts w:ascii="仿宋" w:hAnsi="仿宋" w:eastAsia="仿宋" w:cs="仿宋"/>
                <w:sz w:val="28"/>
              </w:rPr>
              <w:t>11</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32EE533">
            <w:r>
              <w:rPr>
                <w:rFonts w:ascii="仿宋" w:hAnsi="仿宋" w:eastAsia="仿宋" w:cs="仿宋"/>
                <w:sz w:val="28"/>
              </w:rPr>
              <w:t>查获涉案食品</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FC5577B"/>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1E4FFE0">
            <w:pPr>
              <w:rPr>
                <w:rFonts w:ascii="宋体" w:hAnsi="宋体" w:eastAsia="宋体" w:cs="宋体"/>
                <w:sz w:val="22"/>
              </w:rPr>
            </w:pPr>
          </w:p>
        </w:tc>
      </w:tr>
      <w:tr w14:paraId="26D6496E">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033BC72">
            <w:pPr>
              <w:jc w:val="center"/>
            </w:pPr>
            <w:r>
              <w:rPr>
                <w:rFonts w:ascii="仿宋" w:hAnsi="仿宋" w:eastAsia="仿宋" w:cs="仿宋"/>
                <w:sz w:val="28"/>
              </w:rPr>
              <w:t>12</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39D9818">
            <w:r>
              <w:rPr>
                <w:rFonts w:ascii="仿宋" w:hAnsi="仿宋" w:eastAsia="仿宋" w:cs="仿宋"/>
                <w:sz w:val="28"/>
              </w:rPr>
              <w:t>冻结资金</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F9A978D"/>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03D4697">
            <w:pPr>
              <w:rPr>
                <w:rFonts w:ascii="宋体" w:hAnsi="宋体" w:eastAsia="宋体" w:cs="宋体"/>
                <w:sz w:val="22"/>
              </w:rPr>
            </w:pPr>
          </w:p>
        </w:tc>
      </w:tr>
      <w:tr w14:paraId="691B17F0">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03E5068">
            <w:pPr>
              <w:jc w:val="center"/>
            </w:pPr>
            <w:r>
              <w:rPr>
                <w:rFonts w:ascii="仿宋" w:hAnsi="仿宋" w:eastAsia="仿宋" w:cs="仿宋"/>
                <w:sz w:val="28"/>
              </w:rPr>
              <w:t>13</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D4F8240">
            <w:r>
              <w:rPr>
                <w:rFonts w:ascii="仿宋" w:hAnsi="仿宋" w:eastAsia="仿宋" w:cs="仿宋"/>
                <w:sz w:val="28"/>
              </w:rPr>
              <w:t>出动警力</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6781C17"/>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2EAEA69D">
            <w:pPr>
              <w:rPr>
                <w:rFonts w:ascii="宋体" w:hAnsi="宋体" w:eastAsia="宋体" w:cs="宋体"/>
                <w:sz w:val="22"/>
              </w:rPr>
            </w:pPr>
          </w:p>
        </w:tc>
      </w:tr>
      <w:tr w14:paraId="149882B9">
        <w:tblPrEx>
          <w:tblCellMar>
            <w:top w:w="0" w:type="dxa"/>
            <w:left w:w="10" w:type="dxa"/>
            <w:bottom w:w="0" w:type="dxa"/>
            <w:right w:w="10" w:type="dxa"/>
          </w:tblCellMar>
        </w:tblPrEx>
        <w:trPr>
          <w:trHeight w:val="476" w:hRule="atLeast"/>
        </w:trPr>
        <w:tc>
          <w:tcPr>
            <w:tcW w:w="7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5BF7A7C">
            <w:pPr>
              <w:jc w:val="center"/>
            </w:pPr>
            <w:r>
              <w:rPr>
                <w:rFonts w:ascii="仿宋" w:hAnsi="仿宋" w:eastAsia="仿宋" w:cs="仿宋"/>
                <w:sz w:val="28"/>
              </w:rPr>
              <w:t>14</w:t>
            </w:r>
          </w:p>
        </w:tc>
        <w:tc>
          <w:tcPr>
            <w:tcW w:w="5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87E63F0">
            <w:r>
              <w:rPr>
                <w:rFonts w:ascii="仿宋" w:hAnsi="仿宋" w:eastAsia="仿宋" w:cs="仿宋"/>
                <w:sz w:val="28"/>
              </w:rPr>
              <w:t>组织开展宣传活动</w:t>
            </w:r>
          </w:p>
        </w:tc>
        <w:tc>
          <w:tcPr>
            <w:tcW w:w="12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D0DE586"/>
        </w:tc>
        <w:tc>
          <w:tcPr>
            <w:tcW w:w="11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0539A32">
            <w:pPr>
              <w:rPr>
                <w:rFonts w:ascii="宋体" w:hAnsi="宋体" w:eastAsia="宋体" w:cs="宋体"/>
                <w:sz w:val="22"/>
              </w:rPr>
            </w:pPr>
          </w:p>
        </w:tc>
      </w:tr>
    </w:tbl>
    <w:p w14:paraId="5B5164FF">
      <w:pPr>
        <w:rPr>
          <w:rFonts w:ascii="仿宋" w:hAnsi="仿宋" w:eastAsia="仿宋" w:cs="仿宋"/>
          <w:sz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A29D1">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A1C2A">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E1E2A">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AFA4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F7084">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99AA7">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MmUzOGQxNGFhMTk4MjUxZGQzOWM2Y2QxMGExYWUifQ=="/>
  </w:docVars>
  <w:rsids>
    <w:rsidRoot w:val="00FA0117"/>
    <w:rsid w:val="002161B3"/>
    <w:rsid w:val="004B1BB9"/>
    <w:rsid w:val="00561E39"/>
    <w:rsid w:val="007E146B"/>
    <w:rsid w:val="009A0A25"/>
    <w:rsid w:val="00A36825"/>
    <w:rsid w:val="00AC2EDF"/>
    <w:rsid w:val="00DA0EDB"/>
    <w:rsid w:val="00FA0117"/>
    <w:rsid w:val="0135244F"/>
    <w:rsid w:val="03015FDE"/>
    <w:rsid w:val="06DA1F2E"/>
    <w:rsid w:val="1AA749A0"/>
    <w:rsid w:val="50B26176"/>
    <w:rsid w:val="5752559F"/>
    <w:rsid w:val="7A175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8</Pages>
  <Words>2961</Words>
  <Characters>2991</Characters>
  <Lines>23</Lines>
  <Paragraphs>6</Paragraphs>
  <TotalTime>5</TotalTime>
  <ScaleCrop>false</ScaleCrop>
  <LinksUpToDate>false</LinksUpToDate>
  <CharactersWithSpaces>3061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2022-05-11T06:59:00Z</dcterms:created>
  <dc:creator>Hi</dc:creator>
  <cp:lastModifiedBy>Administrator</cp:lastModifiedBy>
  <cp:lastPrinted>2023-04-17T03:23:00Z</cp:lastPrinted>
  <dcterms:modified xsi:type="dcterms:W3CDTF">2024-09-18T07:52:33Z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AEBECAACA26D434EB2F081205DE98879_13</vt:lpwstr>
  </property>
</Properties>
</file>