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309"/>
        <w:spacing w:before="221" w:line="219" w:lineRule="auto"/>
        <w:outlineLvl w:val="0"/>
        <w:rPr>
          <w:rFonts w:ascii="SimSun" w:hAnsi="SimSun" w:eastAsia="SimSun" w:cs="SimSun"/>
          <w:sz w:val="68"/>
          <w:szCs w:val="68"/>
        </w:rPr>
      </w:pPr>
      <w:r>
        <w:rPr>
          <w:rFonts w:ascii="SimSun" w:hAnsi="SimSun" w:eastAsia="SimSun" w:cs="SimSun"/>
          <w:sz w:val="68"/>
          <w:szCs w:val="68"/>
          <w:b/>
          <w:bCs/>
          <w:color w:val="EA1700"/>
          <w:spacing w:val="78"/>
        </w:rPr>
        <w:t>邵阳市住房和城乡建设局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60" w:lineRule="exact"/>
        <w:rPr/>
      </w:pPr>
      <w:r>
        <w:rPr>
          <w:position w:val="-1"/>
        </w:rPr>
        <w:drawing>
          <wp:inline distT="0" distB="0" distL="0" distR="0">
            <wp:extent cx="5670481" cy="38124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70481" cy="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8" w:lineRule="auto"/>
        <w:rPr>
          <w:rFonts w:ascii="Arial"/>
          <w:sz w:val="21"/>
        </w:rPr>
      </w:pPr>
      <w:r/>
    </w:p>
    <w:p>
      <w:pPr>
        <w:ind w:left="206"/>
        <w:spacing w:before="152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35"/>
        </w:rPr>
        <w:t>关于转发《湖南省住房和城乡建设厅关于开</w:t>
      </w:r>
    </w:p>
    <w:p>
      <w:pPr>
        <w:ind w:left="206"/>
        <w:spacing w:before="2" w:line="219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36"/>
        </w:rPr>
        <w:t>展全省配租型保障性住房专项清查整治工作</w:t>
      </w:r>
    </w:p>
    <w:p>
      <w:pPr>
        <w:ind w:left="2866"/>
        <w:spacing w:before="8" w:line="221" w:lineRule="auto"/>
        <w:rPr>
          <w:rFonts w:ascii="SimSun" w:hAnsi="SimSun" w:eastAsia="SimSun" w:cs="SimSun"/>
          <w:sz w:val="47"/>
          <w:szCs w:val="47"/>
        </w:rPr>
      </w:pPr>
      <w:r>
        <w:rPr>
          <w:rFonts w:ascii="SimSun" w:hAnsi="SimSun" w:eastAsia="SimSun" w:cs="SimSun"/>
          <w:sz w:val="47"/>
          <w:szCs w:val="47"/>
          <w:b/>
          <w:bCs/>
          <w:spacing w:val="-33"/>
        </w:rPr>
        <w:t>的通知》的通知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0" w:lineRule="auto"/>
        <w:rPr>
          <w:rFonts w:ascii="Arial"/>
          <w:sz w:val="21"/>
        </w:rPr>
      </w:pPr>
      <w:r/>
    </w:p>
    <w:p>
      <w:pPr>
        <w:pStyle w:val="BodyText"/>
        <w:ind w:left="199"/>
        <w:spacing w:before="114" w:line="561" w:lineRule="exact"/>
        <w:rPr/>
      </w:pPr>
      <w:r>
        <w:rPr>
          <w:spacing w:val="-29"/>
          <w:position w:val="15"/>
        </w:rPr>
        <w:t>各县市区住房和城乡建设局(住房保障服务中心)、市住房保</w:t>
      </w:r>
    </w:p>
    <w:p>
      <w:pPr>
        <w:pStyle w:val="BodyText"/>
        <w:ind w:left="199"/>
        <w:spacing w:before="1" w:line="221" w:lineRule="auto"/>
        <w:rPr/>
      </w:pPr>
      <w:r>
        <w:rPr>
          <w:spacing w:val="-39"/>
        </w:rPr>
        <w:t>障服务中心：</w:t>
      </w:r>
    </w:p>
    <w:p>
      <w:pPr>
        <w:pStyle w:val="BodyText"/>
        <w:ind w:left="199" w:right="370" w:firstLine="639"/>
        <w:spacing w:before="85" w:line="285" w:lineRule="auto"/>
        <w:jc w:val="both"/>
        <w:rPr/>
      </w:pPr>
      <w:r>
        <w:rPr>
          <w:spacing w:val="-31"/>
        </w:rPr>
        <w:t>现将《湖南省住房和城乡建设厅关于开展全省配租型保</w:t>
      </w:r>
      <w:r>
        <w:rPr>
          <w:spacing w:val="7"/>
        </w:rPr>
        <w:t xml:space="preserve"> </w:t>
      </w:r>
      <w:r>
        <w:rPr>
          <w:spacing w:val="-31"/>
        </w:rPr>
        <w:t>障性住房专项清查整治工作的通知》转发给你们，请你单位</w:t>
      </w:r>
      <w:r>
        <w:rPr>
          <w:spacing w:val="4"/>
        </w:rPr>
        <w:t xml:space="preserve"> </w:t>
      </w:r>
      <w:r>
        <w:rPr>
          <w:spacing w:val="-31"/>
        </w:rPr>
        <w:t>高度重视配租型保障性住房专项清查整治工作，不得敷衍塞</w:t>
      </w:r>
      <w:r>
        <w:rPr>
          <w:spacing w:val="6"/>
        </w:rPr>
        <w:t xml:space="preserve"> </w:t>
      </w:r>
      <w:r>
        <w:rPr>
          <w:spacing w:val="-32"/>
        </w:rPr>
        <w:t>责、走过场、搞形式，认真对照要求抓好落实，按时间节点</w:t>
      </w:r>
      <w:r>
        <w:rPr/>
        <w:t xml:space="preserve"> </w:t>
      </w:r>
      <w:r>
        <w:rPr>
          <w:spacing w:val="-32"/>
        </w:rPr>
        <w:t>完成任务。特别是对群众的举报，要有受理、有核查、有回</w:t>
      </w:r>
      <w:r>
        <w:rPr>
          <w:spacing w:val="5"/>
        </w:rPr>
        <w:t xml:space="preserve"> </w:t>
      </w:r>
      <w:r>
        <w:rPr>
          <w:spacing w:val="-34"/>
        </w:rPr>
        <w:t>音、有台账。建议各县市区住房和城乡建设局(住房保障服务</w:t>
      </w:r>
      <w:r>
        <w:rPr>
          <w:spacing w:val="1"/>
        </w:rPr>
        <w:t xml:space="preserve"> </w:t>
      </w:r>
      <w:r>
        <w:rPr>
          <w:spacing w:val="-34"/>
        </w:rPr>
        <w:t>中心)、市住房保障服务中心等单位主动报请驻单位(部门)纪</w:t>
      </w:r>
    </w:p>
    <w:p>
      <w:pPr>
        <w:pStyle w:val="BodyText"/>
        <w:ind w:left="199"/>
        <w:spacing w:before="1" w:line="220" w:lineRule="auto"/>
        <w:rPr/>
      </w:pPr>
      <w:r>
        <w:rPr>
          <w:spacing w:val="-32"/>
        </w:rPr>
        <w:t>检监察部门派人全程监督和参与清查整治工作。</w:t>
      </w:r>
    </w:p>
    <w:p>
      <w:pPr>
        <w:pStyle w:val="BodyText"/>
        <w:ind w:left="859"/>
        <w:spacing w:before="164" w:line="545" w:lineRule="exact"/>
        <w:rPr/>
      </w:pPr>
      <w:r>
        <w:rPr>
          <w:spacing w:val="-19"/>
          <w:position w:val="13"/>
        </w:rPr>
        <w:t>联系人：市住房保障科</w:t>
      </w:r>
      <w:r>
        <w:rPr>
          <w:spacing w:val="131"/>
          <w:position w:val="13"/>
        </w:rPr>
        <w:t xml:space="preserve"> </w:t>
      </w:r>
      <w:r>
        <w:rPr>
          <w:spacing w:val="-19"/>
          <w:position w:val="13"/>
        </w:rPr>
        <w:t>粟蓉</w:t>
      </w:r>
      <w:r>
        <w:rPr>
          <w:spacing w:val="99"/>
          <w:position w:val="13"/>
        </w:rPr>
        <w:t xml:space="preserve"> </w:t>
      </w:r>
      <w:r>
        <w:rPr>
          <w:spacing w:val="-19"/>
          <w:position w:val="13"/>
        </w:rPr>
        <w:t>联系电话0739-53310</w:t>
      </w:r>
      <w:r>
        <w:rPr>
          <w:spacing w:val="-20"/>
          <w:position w:val="13"/>
        </w:rPr>
        <w:t>26</w:t>
      </w:r>
    </w:p>
    <w:p>
      <w:pPr>
        <w:pStyle w:val="BodyText"/>
        <w:ind w:left="199"/>
        <w:spacing w:line="212" w:lineRule="auto"/>
        <w:rPr>
          <w:rFonts w:ascii="Times New Roman" w:hAnsi="Times New Roman" w:eastAsia="Times New Roman" w:cs="Times New Roman"/>
        </w:rPr>
      </w:pPr>
      <w:r>
        <w:rPr>
          <w:spacing w:val="-17"/>
        </w:rPr>
        <w:t>联系邮箱：</w:t>
      </w:r>
      <w:r>
        <w:rPr>
          <w:rFonts w:ascii="Times New Roman" w:hAnsi="Times New Roman" w:eastAsia="Times New Roman" w:cs="Times New Roman"/>
          <w:spacing w:val="-17"/>
        </w:rPr>
        <w:t>syzfbzb0s ina.com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3899"/>
        <w:spacing w:before="114" w:line="572" w:lineRule="exact"/>
        <w:rPr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2876484</wp:posOffset>
            </wp:positionH>
            <wp:positionV relativeFrom="paragraph">
              <wp:posOffset>-568923</wp:posOffset>
            </wp:positionV>
            <wp:extent cx="1555781" cy="1549422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55781" cy="1549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8"/>
          <w:position w:val="15"/>
        </w:rPr>
        <w:t>邵阳市住房和城乡建设局</w:t>
      </w:r>
    </w:p>
    <w:p>
      <w:pPr>
        <w:pStyle w:val="BodyText"/>
        <w:ind w:left="4379"/>
        <w:spacing w:line="222" w:lineRule="auto"/>
        <w:rPr/>
      </w:pPr>
      <w:r>
        <w:rPr>
          <w:spacing w:val="13"/>
        </w:rPr>
        <w:t>2023年12月22日</w:t>
      </w:r>
    </w:p>
    <w:p>
      <w:pPr>
        <w:spacing w:line="222" w:lineRule="auto"/>
        <w:sectPr>
          <w:pgSz w:w="11820" w:h="16960"/>
          <w:pgMar w:top="1441" w:right="1370" w:bottom="0" w:left="1520" w:header="0" w:footer="0" w:gutter="0"/>
        </w:sectPr>
        <w:rPr/>
      </w:pPr>
    </w:p>
    <w:p>
      <w:pPr>
        <w:spacing w:before="249" w:line="219" w:lineRule="auto"/>
        <w:tabs>
          <w:tab w:val="left" w:pos="900"/>
        </w:tabs>
        <w:rPr>
          <w:rFonts w:ascii="SimSun" w:hAnsi="SimSun" w:eastAsia="SimSun" w:cs="SimSun"/>
          <w:sz w:val="96"/>
          <w:szCs w:val="96"/>
        </w:rPr>
      </w:pPr>
      <w:r>
        <w:rPr>
          <w:rFonts w:ascii="SimSun" w:hAnsi="SimSun" w:eastAsia="SimSun" w:cs="SimSun"/>
          <w:sz w:val="96"/>
          <w:szCs w:val="96"/>
          <w:u w:val="single" w:color="auto"/>
        </w:rPr>
        <w:tab/>
      </w:r>
      <w:r>
        <w:rPr>
          <w:rFonts w:ascii="SimSun" w:hAnsi="SimSun" w:eastAsia="SimSun" w:cs="SimSun"/>
          <w:sz w:val="96"/>
          <w:szCs w:val="96"/>
          <w:b/>
          <w:bCs/>
          <w:u w:val="single" w:color="auto"/>
          <w:spacing w:val="-74"/>
          <w:w w:val="82"/>
        </w:rPr>
        <w:t>湖南省住房和城乡建设厅</w:t>
      </w:r>
      <w:r>
        <w:rPr>
          <w:rFonts w:ascii="SimSun" w:hAnsi="SimSun" w:eastAsia="SimSun" w:cs="SimSun"/>
          <w:sz w:val="96"/>
          <w:szCs w:val="96"/>
          <w:u w:val="single" w:color="auto"/>
          <w:spacing w:val="4"/>
        </w:rPr>
        <w:t xml:space="preserve">  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pStyle w:val="BodyText"/>
        <w:ind w:left="5930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spacing w:val="-38"/>
        </w:rPr>
        <w:t>湘建保函〔2023〕102号</w:t>
      </w:r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left="2516"/>
        <w:spacing w:before="150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31"/>
        </w:rPr>
        <w:t>湖南省住房和城乡建设厅</w:t>
      </w:r>
    </w:p>
    <w:p>
      <w:pPr>
        <w:ind w:left="996"/>
        <w:spacing w:before="214" w:line="219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33"/>
        </w:rPr>
        <w:t>关于开展全省配租型保障性住房专项清查</w:t>
      </w:r>
    </w:p>
    <w:p>
      <w:pPr>
        <w:ind w:left="3386"/>
        <w:spacing w:before="155" w:line="220" w:lineRule="auto"/>
        <w:rPr>
          <w:rFonts w:ascii="SimSun" w:hAnsi="SimSun" w:eastAsia="SimSun" w:cs="SimSun"/>
          <w:sz w:val="46"/>
          <w:szCs w:val="46"/>
        </w:rPr>
      </w:pPr>
      <w:r>
        <w:rPr>
          <w:rFonts w:ascii="SimSun" w:hAnsi="SimSun" w:eastAsia="SimSun" w:cs="SimSun"/>
          <w:sz w:val="46"/>
          <w:szCs w:val="46"/>
          <w:b/>
          <w:bCs/>
          <w:spacing w:val="-30"/>
        </w:rPr>
        <w:t>整治工作的通知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pStyle w:val="BodyText"/>
        <w:ind w:left="509"/>
        <w:spacing w:before="120" w:line="222" w:lineRule="auto"/>
        <w:rPr>
          <w:sz w:val="37"/>
          <w:szCs w:val="37"/>
        </w:rPr>
      </w:pPr>
      <w:r>
        <w:rPr>
          <w:sz w:val="37"/>
          <w:szCs w:val="37"/>
          <w:spacing w:val="-59"/>
        </w:rPr>
        <w:t>各市州住房和城乡建设局：</w:t>
      </w:r>
    </w:p>
    <w:p>
      <w:pPr>
        <w:pStyle w:val="BodyText"/>
        <w:ind w:left="509" w:right="467" w:firstLine="650"/>
        <w:spacing w:before="146" w:line="306" w:lineRule="auto"/>
        <w:jc w:val="both"/>
        <w:rPr/>
      </w:pPr>
      <w:r>
        <w:rPr>
          <w:spacing w:val="-32"/>
        </w:rPr>
        <w:t>为进一步加强配租型保障性住房(公共租赁住房和保障性租</w:t>
      </w:r>
      <w:r>
        <w:rPr>
          <w:spacing w:val="8"/>
        </w:rPr>
        <w:t xml:space="preserve"> </w:t>
      </w:r>
      <w:r>
        <w:rPr>
          <w:spacing w:val="-34"/>
        </w:rPr>
        <w:t>赁住房)管理，坚持问题导向、目标导向、结果导向相统一，夯</w:t>
      </w:r>
      <w:r>
        <w:rPr>
          <w:spacing w:val="6"/>
        </w:rPr>
        <w:t xml:space="preserve"> </w:t>
      </w:r>
      <w:r>
        <w:rPr>
          <w:spacing w:val="-39"/>
        </w:rPr>
        <w:t>实基层基础，提升管理效能，切实发挥其惠民</w:t>
      </w:r>
      <w:r>
        <w:rPr>
          <w:spacing w:val="-40"/>
        </w:rPr>
        <w:t>利民的作用。经研</w:t>
      </w:r>
      <w:r>
        <w:rPr/>
        <w:t xml:space="preserve"> </w:t>
      </w:r>
      <w:r>
        <w:rPr>
          <w:spacing w:val="-38"/>
        </w:rPr>
        <w:t>究，决定开展全省配租型保障性住房专项清查整治工作，现将有</w:t>
      </w:r>
    </w:p>
    <w:p>
      <w:pPr>
        <w:pStyle w:val="BodyText"/>
        <w:ind w:left="509"/>
        <w:spacing w:before="1" w:line="222" w:lineRule="auto"/>
        <w:rPr/>
      </w:pPr>
      <w:r>
        <w:rPr>
          <w:spacing w:val="-43"/>
        </w:rPr>
        <w:t>关事项通知如下。</w:t>
      </w:r>
    </w:p>
    <w:p>
      <w:pPr>
        <w:ind w:left="1104"/>
        <w:spacing w:before="174" w:line="222" w:lineRule="auto"/>
        <w:outlineLvl w:val="0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b/>
          <w:bCs/>
          <w:spacing w:val="-28"/>
        </w:rPr>
        <w:t>一、工作目标</w:t>
      </w:r>
    </w:p>
    <w:p>
      <w:pPr>
        <w:pStyle w:val="BodyText"/>
        <w:ind w:left="509" w:right="385" w:firstLine="610"/>
        <w:spacing w:before="154" w:line="306" w:lineRule="auto"/>
        <w:jc w:val="both"/>
        <w:rPr/>
      </w:pPr>
      <w:r>
        <w:rPr>
          <w:spacing w:val="-38"/>
        </w:rPr>
        <w:t>通过为期四个月左右的专项清查整治工作，从公</w:t>
      </w:r>
      <w:r>
        <w:rPr>
          <w:spacing w:val="-39"/>
        </w:rPr>
        <w:t>共租赁住房</w:t>
      </w:r>
      <w:r>
        <w:rPr>
          <w:spacing w:val="-39"/>
        </w:rPr>
        <w:t xml:space="preserve"> </w:t>
      </w:r>
      <w:r>
        <w:rPr>
          <w:spacing w:val="-46"/>
        </w:rPr>
        <w:t>和保障性租赁住房政策制定和执行、各类保障对象准入条件设定、</w:t>
      </w:r>
      <w:r>
        <w:rPr>
          <w:spacing w:val="17"/>
        </w:rPr>
        <w:t xml:space="preserve"> </w:t>
      </w:r>
      <w:r>
        <w:rPr>
          <w:spacing w:val="-38"/>
        </w:rPr>
        <w:t>申请和审核、分配、使用和退出、房源管理、小区安全管理等方</w:t>
      </w:r>
    </w:p>
    <w:p>
      <w:pPr>
        <w:pStyle w:val="BodyText"/>
        <w:ind w:left="509"/>
        <w:spacing w:before="1" w:line="221" w:lineRule="auto"/>
        <w:rPr/>
      </w:pPr>
      <w:r>
        <w:rPr>
          <w:spacing w:val="-58"/>
        </w:rPr>
        <w:t>面，实现对象全覆盖、内容全涵盖、措施全链条、监督全贯通的“穿</w:t>
      </w:r>
    </w:p>
    <w:p>
      <w:pPr>
        <w:spacing w:line="221" w:lineRule="auto"/>
        <w:sectPr>
          <w:footerReference w:type="default" r:id="rId3"/>
          <w:pgSz w:w="11830" w:h="16910"/>
          <w:pgMar w:top="1437" w:right="1059" w:bottom="1160" w:left="1039" w:header="0" w:footer="1099" w:gutter="0"/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spacing w:before="101" w:line="606" w:lineRule="exact"/>
        <w:rPr>
          <w:sz w:val="31"/>
          <w:szCs w:val="31"/>
        </w:rPr>
      </w:pPr>
      <w:r>
        <w:rPr>
          <w:sz w:val="31"/>
          <w:szCs w:val="31"/>
          <w:spacing w:val="-8"/>
          <w:position w:val="22"/>
        </w:rPr>
        <w:t>透式”监管，进一步规范和加强全省公共租赁住房和保障性租</w:t>
      </w:r>
      <w:r>
        <w:rPr>
          <w:sz w:val="31"/>
          <w:szCs w:val="31"/>
          <w:spacing w:val="-9"/>
          <w:position w:val="22"/>
        </w:rPr>
        <w:t>赁住</w:t>
      </w:r>
    </w:p>
    <w:p>
      <w:pPr>
        <w:pStyle w:val="BodyText"/>
        <w:spacing w:before="1" w:line="223" w:lineRule="auto"/>
        <w:rPr>
          <w:sz w:val="31"/>
          <w:szCs w:val="31"/>
        </w:rPr>
      </w:pPr>
      <w:r>
        <w:rPr>
          <w:sz w:val="31"/>
          <w:szCs w:val="31"/>
          <w:spacing w:val="-9"/>
        </w:rPr>
        <w:t>房管理。</w:t>
      </w:r>
    </w:p>
    <w:p>
      <w:pPr>
        <w:ind w:left="664"/>
        <w:spacing w:before="158" w:line="222" w:lineRule="auto"/>
        <w:outlineLvl w:val="1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4"/>
        </w:rPr>
        <w:t>二、工作重点</w:t>
      </w:r>
    </w:p>
    <w:p>
      <w:pPr>
        <w:pStyle w:val="BodyText"/>
        <w:ind w:right="14" w:firstLine="774"/>
        <w:spacing w:before="201" w:line="340" w:lineRule="auto"/>
        <w:jc w:val="both"/>
        <w:rPr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5"/>
        </w:rPr>
        <w:t>(一)深入开展公共租赁住房保障领域存在的突出问题整治</w:t>
      </w:r>
      <w:r>
        <w:rPr>
          <w:rFonts w:ascii="KaiTi" w:hAnsi="KaiTi" w:eastAsia="KaiTi" w:cs="KaiTi"/>
          <w:sz w:val="31"/>
          <w:szCs w:val="31"/>
          <w:spacing w:val="16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-16"/>
        </w:rPr>
        <w:t>工作“回头看”</w:t>
      </w:r>
      <w:r>
        <w:rPr>
          <w:rFonts w:ascii="KaiTi" w:hAnsi="KaiTi" w:eastAsia="KaiTi" w:cs="KaiTi"/>
          <w:sz w:val="31"/>
          <w:szCs w:val="31"/>
          <w:spacing w:val="-16"/>
        </w:rPr>
        <w:t>。今年5月省厅印发了《全省住房城乡建设领域“三</w:t>
      </w:r>
      <w:r>
        <w:rPr>
          <w:rFonts w:ascii="KaiTi" w:hAnsi="KaiTi" w:eastAsia="KaiTi" w:cs="KaiTi"/>
          <w:sz w:val="31"/>
          <w:szCs w:val="31"/>
          <w:spacing w:val="1"/>
        </w:rPr>
        <w:t xml:space="preserve"> </w:t>
      </w:r>
      <w:r>
        <w:rPr>
          <w:sz w:val="31"/>
          <w:szCs w:val="31"/>
          <w:spacing w:val="-4"/>
        </w:rPr>
        <w:t>湘护农”和惠民政策落实专项行动实施方案》,要求聚焦公</w:t>
      </w:r>
      <w:r>
        <w:rPr>
          <w:sz w:val="31"/>
          <w:szCs w:val="31"/>
          <w:spacing w:val="-5"/>
        </w:rPr>
        <w:t>共租赁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2"/>
        </w:rPr>
        <w:t>住房保障领域存在的突出问题，按照公共租赁住房保障范</w:t>
      </w:r>
      <w:r>
        <w:rPr>
          <w:sz w:val="31"/>
          <w:szCs w:val="31"/>
          <w:spacing w:val="1"/>
        </w:rPr>
        <w:t>围和保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2"/>
        </w:rPr>
        <w:t>障对象精准化、公共租赁住房保障资金管理和发放规范化、公共</w:t>
      </w:r>
      <w:r>
        <w:rPr>
          <w:sz w:val="31"/>
          <w:szCs w:val="31"/>
          <w:spacing w:val="13"/>
        </w:rPr>
        <w:t xml:space="preserve"> </w:t>
      </w:r>
      <w:r>
        <w:rPr>
          <w:sz w:val="31"/>
          <w:szCs w:val="31"/>
          <w:spacing w:val="1"/>
        </w:rPr>
        <w:t>租赁住房房源管理高效化的相关要求开展自查自纠。各市州要组</w:t>
      </w:r>
      <w:r>
        <w:rPr>
          <w:sz w:val="31"/>
          <w:szCs w:val="31"/>
          <w:spacing w:val="2"/>
        </w:rPr>
        <w:t xml:space="preserve"> </w:t>
      </w:r>
      <w:r>
        <w:rPr>
          <w:sz w:val="31"/>
          <w:szCs w:val="31"/>
          <w:spacing w:val="2"/>
        </w:rPr>
        <w:t>织所辖县市区对照自查问题清单认真核查整改完</w:t>
      </w:r>
      <w:r>
        <w:rPr>
          <w:sz w:val="31"/>
          <w:szCs w:val="31"/>
          <w:spacing w:val="1"/>
        </w:rPr>
        <w:t>成情况，重点是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2"/>
        </w:rPr>
        <w:t>采取的整改措施、建立和完善的相关规章制度以及取得的整改成</w:t>
      </w:r>
      <w:r>
        <w:rPr>
          <w:sz w:val="31"/>
          <w:szCs w:val="31"/>
          <w:spacing w:val="4"/>
        </w:rPr>
        <w:t xml:space="preserve"> </w:t>
      </w:r>
      <w:r>
        <w:rPr>
          <w:sz w:val="31"/>
          <w:szCs w:val="31"/>
          <w:spacing w:val="2"/>
        </w:rPr>
        <w:t>效，通过核查确保整改情况真实有效。对尚未整改到位</w:t>
      </w:r>
      <w:r>
        <w:rPr>
          <w:sz w:val="31"/>
          <w:szCs w:val="31"/>
          <w:spacing w:val="1"/>
        </w:rPr>
        <w:t>的问题要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2"/>
        </w:rPr>
        <w:t>建立清单，逐个分析未整改到位的具体原因</w:t>
      </w:r>
      <w:r>
        <w:rPr>
          <w:sz w:val="31"/>
          <w:szCs w:val="31"/>
          <w:spacing w:val="-3"/>
        </w:rPr>
        <w:t>，压紧压实整改责任</w:t>
      </w:r>
    </w:p>
    <w:p>
      <w:pPr>
        <w:pStyle w:val="BodyText"/>
        <w:spacing w:line="222" w:lineRule="auto"/>
        <w:rPr>
          <w:sz w:val="31"/>
          <w:szCs w:val="31"/>
        </w:rPr>
      </w:pPr>
      <w:r>
        <w:rPr>
          <w:sz w:val="31"/>
          <w:szCs w:val="31"/>
          <w:spacing w:val="-3"/>
        </w:rPr>
        <w:t>加快推进问题整改落实。</w:t>
      </w:r>
    </w:p>
    <w:p>
      <w:pPr>
        <w:ind w:right="50"/>
        <w:spacing w:before="227" w:line="223" w:lineRule="auto"/>
        <w:jc w:val="right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3"/>
        </w:rPr>
        <w:t>(二)全面梳理清查公共租赁住房和保障性租赁住房政策文</w:t>
      </w:r>
    </w:p>
    <w:p>
      <w:pPr>
        <w:pStyle w:val="BodyText"/>
        <w:spacing w:before="207" w:line="346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spacing w:val="2"/>
        </w:rPr>
        <w:t>件。各市州要组织所辖县市区全面梳理公共租赁住</w:t>
      </w:r>
      <w:r>
        <w:rPr>
          <w:sz w:val="31"/>
          <w:szCs w:val="31"/>
          <w:spacing w:val="1"/>
        </w:rPr>
        <w:t>房和保障性租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-2"/>
        </w:rPr>
        <w:t>赁住房管理政策，对标对表国家和省相关文件精神，进行清查，</w:t>
      </w:r>
      <w:r>
        <w:rPr>
          <w:sz w:val="31"/>
          <w:szCs w:val="31"/>
          <w:spacing w:val="-2"/>
        </w:rPr>
        <w:t xml:space="preserve"> </w:t>
      </w:r>
      <w:r>
        <w:rPr>
          <w:sz w:val="31"/>
          <w:szCs w:val="31"/>
          <w:spacing w:val="-6"/>
        </w:rPr>
        <w:t>对违反国、省相关规定的，要组织修订。</w:t>
      </w:r>
      <w:r>
        <w:rPr>
          <w:sz w:val="31"/>
          <w:szCs w:val="31"/>
          <w:spacing w:val="69"/>
        </w:rPr>
        <w:t xml:space="preserve"> </w:t>
      </w:r>
      <w:r>
        <w:rPr>
          <w:sz w:val="31"/>
          <w:szCs w:val="31"/>
          <w:spacing w:val="-6"/>
        </w:rPr>
        <w:t>一直未按</w:t>
      </w:r>
      <w:r>
        <w:rPr>
          <w:sz w:val="31"/>
          <w:szCs w:val="31"/>
          <w:spacing w:val="-7"/>
        </w:rPr>
        <w:t>照《湖南省公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6"/>
        </w:rPr>
        <w:t>共租赁住房管理办法》(湘建保〔2021〕188号)和《关</w:t>
      </w:r>
      <w:r>
        <w:rPr>
          <w:sz w:val="31"/>
          <w:szCs w:val="31"/>
          <w:spacing w:val="5"/>
        </w:rPr>
        <w:t>于加快发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8"/>
        </w:rPr>
        <w:t>展保障性租赁住房的通知》(湘建保〔2022〕2号)要求</w:t>
      </w:r>
      <w:r>
        <w:rPr>
          <w:sz w:val="31"/>
          <w:szCs w:val="31"/>
          <w:spacing w:val="7"/>
        </w:rPr>
        <w:t>出台具体</w:t>
      </w:r>
      <w:r>
        <w:rPr>
          <w:sz w:val="31"/>
          <w:szCs w:val="3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"/>
        </w:rPr>
        <w:t>实施办法的市州和县市区，要尽快出台。各市州要对县市区出合</w:t>
      </w:r>
    </w:p>
    <w:p>
      <w:pPr>
        <w:pStyle w:val="BodyText"/>
        <w:spacing w:before="1" w:line="220" w:lineRule="auto"/>
        <w:rPr>
          <w:sz w:val="31"/>
          <w:szCs w:val="31"/>
        </w:rPr>
      </w:pPr>
      <w:r>
        <w:rPr>
          <w:sz w:val="31"/>
          <w:szCs w:val="31"/>
          <w:spacing w:val="1"/>
        </w:rPr>
        <w:t>的实施细则等相关规定，进行备案审查，严格审查所制定政策的</w:t>
      </w:r>
    </w:p>
    <w:p>
      <w:pPr>
        <w:spacing w:line="220" w:lineRule="auto"/>
        <w:sectPr>
          <w:footerReference w:type="default" r:id="rId4"/>
          <w:pgSz w:w="11900" w:h="16930"/>
          <w:pgMar w:top="1439" w:right="1489" w:bottom="1802" w:left="1640" w:header="0" w:footer="1499" w:gutter="0"/>
        </w:sectPr>
        <w:rPr>
          <w:sz w:val="31"/>
          <w:szCs w:val="31"/>
        </w:rPr>
      </w:pPr>
    </w:p>
    <w:p>
      <w:pPr>
        <w:spacing w:line="335" w:lineRule="auto"/>
        <w:rPr>
          <w:rFonts w:ascii="Arial"/>
          <w:sz w:val="21"/>
        </w:rPr>
      </w:pPr>
      <w:r/>
    </w:p>
    <w:p>
      <w:pPr>
        <w:spacing w:line="335" w:lineRule="auto"/>
        <w:rPr>
          <w:rFonts w:ascii="Arial"/>
          <w:sz w:val="21"/>
        </w:rPr>
      </w:pPr>
      <w:r/>
    </w:p>
    <w:p>
      <w:pPr>
        <w:pStyle w:val="BodyText"/>
        <w:spacing w:before="97" w:line="573" w:lineRule="exact"/>
        <w:rPr>
          <w:sz w:val="30"/>
          <w:szCs w:val="30"/>
        </w:rPr>
      </w:pPr>
      <w:r>
        <w:rPr>
          <w:sz w:val="30"/>
          <w:szCs w:val="30"/>
          <w:spacing w:val="22"/>
          <w:position w:val="20"/>
        </w:rPr>
        <w:t>合规性。并于12月31日前将市州及县市区目前</w:t>
      </w:r>
      <w:r>
        <w:rPr>
          <w:sz w:val="30"/>
          <w:szCs w:val="30"/>
          <w:spacing w:val="21"/>
          <w:position w:val="20"/>
        </w:rPr>
        <w:t>正在执行的政策</w:t>
      </w:r>
    </w:p>
    <w:p>
      <w:pPr>
        <w:pStyle w:val="BodyText"/>
        <w:spacing w:before="1" w:line="220" w:lineRule="auto"/>
        <w:rPr>
          <w:sz w:val="30"/>
          <w:szCs w:val="30"/>
        </w:rPr>
      </w:pPr>
      <w:r>
        <w:rPr>
          <w:sz w:val="30"/>
          <w:szCs w:val="30"/>
          <w:spacing w:val="7"/>
        </w:rPr>
        <w:t>文件以及拟修订出台的实施办法，报省厅备案审</w:t>
      </w:r>
      <w:r>
        <w:rPr>
          <w:sz w:val="30"/>
          <w:szCs w:val="30"/>
          <w:spacing w:val="6"/>
        </w:rPr>
        <w:t>查。</w:t>
      </w:r>
    </w:p>
    <w:p>
      <w:pPr>
        <w:pStyle w:val="BodyText"/>
        <w:ind w:firstLine="744"/>
        <w:spacing w:before="193" w:line="357" w:lineRule="auto"/>
        <w:jc w:val="both"/>
        <w:rPr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b/>
          <w:bCs/>
          <w:spacing w:val="14"/>
        </w:rPr>
        <w:t>(三)严格规范公共租赁住房和保障性租赁住房管理。</w:t>
      </w:r>
      <w:r>
        <w:rPr>
          <w:sz w:val="30"/>
          <w:szCs w:val="30"/>
          <w:spacing w:val="14"/>
        </w:rPr>
        <w:t>各市</w:t>
      </w:r>
      <w:r>
        <w:rPr>
          <w:sz w:val="30"/>
          <w:szCs w:val="30"/>
          <w:spacing w:val="2"/>
        </w:rPr>
        <w:t xml:space="preserve">  </w:t>
      </w:r>
      <w:r>
        <w:rPr>
          <w:sz w:val="30"/>
          <w:szCs w:val="30"/>
          <w:spacing w:val="11"/>
        </w:rPr>
        <w:t>州要组织所辖县市区对照国、省相关规定，</w:t>
      </w:r>
      <w:r>
        <w:rPr>
          <w:sz w:val="30"/>
          <w:szCs w:val="30"/>
          <w:spacing w:val="10"/>
        </w:rPr>
        <w:t>从房源筹集，保障对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11"/>
        </w:rPr>
        <w:t>象、方式及标准的设定，申请和审核，分配</w:t>
      </w:r>
      <w:r>
        <w:rPr>
          <w:sz w:val="30"/>
          <w:szCs w:val="30"/>
          <w:spacing w:val="10"/>
        </w:rPr>
        <w:t>、使用和退出，资产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10"/>
        </w:rPr>
        <w:t>与权属管理等方面，全流程规范公共租赁住房和保障性租赁住房</w:t>
      </w:r>
      <w:r>
        <w:rPr>
          <w:sz w:val="30"/>
          <w:szCs w:val="30"/>
          <w:spacing w:val="7"/>
        </w:rPr>
        <w:t xml:space="preserve">  </w:t>
      </w:r>
      <w:r>
        <w:rPr>
          <w:sz w:val="30"/>
          <w:szCs w:val="30"/>
          <w:spacing w:val="11"/>
        </w:rPr>
        <w:t>管理。要切实落实好公共租赁住房保障对象准入和</w:t>
      </w:r>
      <w:r>
        <w:rPr>
          <w:sz w:val="30"/>
          <w:szCs w:val="30"/>
          <w:spacing w:val="10"/>
        </w:rPr>
        <w:t>退出的部门联</w:t>
      </w:r>
      <w:r>
        <w:rPr>
          <w:sz w:val="30"/>
          <w:szCs w:val="30"/>
        </w:rPr>
        <w:t xml:space="preserve">  </w:t>
      </w:r>
      <w:r>
        <w:rPr>
          <w:sz w:val="30"/>
          <w:szCs w:val="30"/>
          <w:spacing w:val="11"/>
        </w:rPr>
        <w:t>审制度、轮候制度、申请和审核环节的公示</w:t>
      </w:r>
      <w:r>
        <w:rPr>
          <w:sz w:val="30"/>
          <w:szCs w:val="30"/>
          <w:spacing w:val="10"/>
        </w:rPr>
        <w:t>制度等，要进一步规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11"/>
        </w:rPr>
        <w:t>范公共租赁住房租赁补贴发放，全面实现公</w:t>
      </w:r>
      <w:r>
        <w:rPr>
          <w:sz w:val="30"/>
          <w:szCs w:val="30"/>
          <w:spacing w:val="10"/>
        </w:rPr>
        <w:t>共租赁住房租赁补贴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</w:rPr>
        <w:t>发放纳入“一卡通”阳光审批系统。加强公共租赁住房和保障性租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赁住房信息化管理，建立健全信息共享机制，完善各</w:t>
      </w:r>
      <w:r>
        <w:rPr>
          <w:sz w:val="30"/>
          <w:szCs w:val="30"/>
          <w:spacing w:val="4"/>
        </w:rPr>
        <w:t>项数据录入，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5"/>
        </w:rPr>
        <w:t>加快推进线上申请、线上审批和线上监管。切实落实</w:t>
      </w:r>
      <w:r>
        <w:rPr>
          <w:sz w:val="30"/>
          <w:szCs w:val="30"/>
          <w:spacing w:val="4"/>
        </w:rPr>
        <w:t>产权人责任，</w:t>
      </w:r>
      <w:r>
        <w:rPr>
          <w:sz w:val="30"/>
          <w:szCs w:val="30"/>
        </w:rPr>
        <w:t xml:space="preserve"> </w:t>
      </w:r>
      <w:r>
        <w:rPr>
          <w:sz w:val="30"/>
          <w:szCs w:val="30"/>
          <w:spacing w:val="11"/>
        </w:rPr>
        <w:t>加强公共租赁住房和保障性租赁住房小区管理，全面排查各类安</w:t>
      </w:r>
    </w:p>
    <w:p>
      <w:pPr>
        <w:pStyle w:val="BodyText"/>
        <w:spacing w:line="223" w:lineRule="auto"/>
        <w:rPr>
          <w:sz w:val="30"/>
          <w:szCs w:val="30"/>
        </w:rPr>
      </w:pPr>
      <w:r>
        <w:rPr>
          <w:sz w:val="30"/>
          <w:szCs w:val="30"/>
          <w:spacing w:val="5"/>
        </w:rPr>
        <w:t>全风险隐患，严防各类安全事故发生。</w:t>
      </w:r>
    </w:p>
    <w:p>
      <w:pPr>
        <w:ind w:left="624"/>
        <w:spacing w:before="211" w:line="221" w:lineRule="auto"/>
        <w:outlineLvl w:val="1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-11"/>
        </w:rPr>
        <w:t>三、</w:t>
      </w:r>
      <w:r>
        <w:rPr>
          <w:rFonts w:ascii="SimHei" w:hAnsi="SimHei" w:eastAsia="SimHei" w:cs="SimHei"/>
          <w:sz w:val="30"/>
          <w:szCs w:val="30"/>
          <w:spacing w:val="-51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-11"/>
        </w:rPr>
        <w:t>步骤安排</w:t>
      </w:r>
    </w:p>
    <w:p>
      <w:pPr>
        <w:ind w:left="744"/>
        <w:spacing w:before="199" w:line="224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b/>
          <w:bCs/>
          <w:spacing w:val="31"/>
        </w:rPr>
        <w:t>(</w:t>
      </w:r>
      <w:r>
        <w:rPr>
          <w:rFonts w:ascii="KaiTi" w:hAnsi="KaiTi" w:eastAsia="KaiTi" w:cs="KaiTi"/>
          <w:sz w:val="30"/>
          <w:szCs w:val="30"/>
          <w:spacing w:val="-85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31"/>
        </w:rPr>
        <w:t>一)动员部署阶段(2023年12月31</w:t>
      </w:r>
      <w:r>
        <w:rPr>
          <w:rFonts w:ascii="KaiTi" w:hAnsi="KaiTi" w:eastAsia="KaiTi" w:cs="KaiTi"/>
          <w:sz w:val="30"/>
          <w:szCs w:val="30"/>
          <w:b/>
          <w:bCs/>
          <w:spacing w:val="30"/>
        </w:rPr>
        <w:t>日</w:t>
      </w:r>
      <w:r>
        <w:rPr>
          <w:rFonts w:ascii="KaiTi" w:hAnsi="KaiTi" w:eastAsia="KaiTi" w:cs="KaiTi"/>
          <w:sz w:val="30"/>
          <w:szCs w:val="30"/>
          <w:spacing w:val="-60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30"/>
        </w:rPr>
        <w:t>前</w:t>
      </w:r>
      <w:r>
        <w:rPr>
          <w:rFonts w:ascii="KaiTi" w:hAnsi="KaiTi" w:eastAsia="KaiTi" w:cs="KaiTi"/>
          <w:sz w:val="30"/>
          <w:szCs w:val="30"/>
          <w:spacing w:val="-69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30"/>
        </w:rPr>
        <w:t>)</w:t>
      </w:r>
    </w:p>
    <w:p>
      <w:pPr>
        <w:pStyle w:val="BodyText"/>
        <w:ind w:right="110" w:firstLine="620"/>
        <w:spacing w:before="261" w:line="350" w:lineRule="auto"/>
        <w:jc w:val="both"/>
        <w:rPr>
          <w:sz w:val="30"/>
          <w:szCs w:val="30"/>
        </w:rPr>
      </w:pPr>
      <w:r>
        <w:rPr>
          <w:sz w:val="30"/>
          <w:szCs w:val="30"/>
          <w:spacing w:val="24"/>
        </w:rPr>
        <w:t>各市州要积极组织所辖县市区开展本地区的专项清查整治</w:t>
      </w:r>
      <w:r>
        <w:rPr>
          <w:sz w:val="30"/>
          <w:szCs w:val="30"/>
          <w:spacing w:val="8"/>
        </w:rPr>
        <w:t xml:space="preserve"> </w:t>
      </w:r>
      <w:r>
        <w:rPr>
          <w:sz w:val="30"/>
          <w:szCs w:val="30"/>
          <w:spacing w:val="11"/>
        </w:rPr>
        <w:t>工作，制定工作方案，明确清查整治要求，对清查整治各个环节</w:t>
      </w:r>
    </w:p>
    <w:p>
      <w:pPr>
        <w:pStyle w:val="BodyText"/>
        <w:spacing w:line="220" w:lineRule="auto"/>
        <w:rPr>
          <w:sz w:val="30"/>
          <w:szCs w:val="30"/>
        </w:rPr>
      </w:pPr>
      <w:r>
        <w:rPr>
          <w:sz w:val="30"/>
          <w:szCs w:val="30"/>
          <w:spacing w:val="1"/>
        </w:rPr>
        <w:t>的工作进行全面部署。</w:t>
      </w:r>
    </w:p>
    <w:p>
      <w:pPr>
        <w:ind w:left="744"/>
        <w:spacing w:before="200" w:line="225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b/>
          <w:bCs/>
          <w:spacing w:val="43"/>
        </w:rPr>
        <w:t>(二)自查自纠阶段(2024年1月1日-2024年3月15日)</w:t>
      </w:r>
    </w:p>
    <w:p>
      <w:pPr>
        <w:pStyle w:val="BodyText"/>
        <w:ind w:left="620"/>
        <w:spacing w:before="227" w:line="578" w:lineRule="exact"/>
        <w:rPr>
          <w:sz w:val="30"/>
          <w:szCs w:val="30"/>
        </w:rPr>
      </w:pPr>
      <w:r>
        <w:rPr>
          <w:sz w:val="30"/>
          <w:szCs w:val="30"/>
          <w:spacing w:val="11"/>
          <w:position w:val="20"/>
        </w:rPr>
        <w:t>各市州要围绕清查整治工作重点，组织所辖县市区认真开展</w:t>
      </w:r>
    </w:p>
    <w:p>
      <w:pPr>
        <w:pStyle w:val="BodyText"/>
        <w:spacing w:before="1" w:line="219" w:lineRule="auto"/>
        <w:rPr>
          <w:sz w:val="30"/>
          <w:szCs w:val="30"/>
        </w:rPr>
      </w:pPr>
      <w:r>
        <w:rPr>
          <w:sz w:val="30"/>
          <w:szCs w:val="30"/>
          <w:spacing w:val="11"/>
        </w:rPr>
        <w:t>自查自纠，要在官网及业务办理大厅、每个公共租赁住房和保障</w:t>
      </w:r>
    </w:p>
    <w:p>
      <w:pPr>
        <w:spacing w:line="219" w:lineRule="auto"/>
        <w:sectPr>
          <w:footerReference w:type="default" r:id="rId5"/>
          <w:pgSz w:w="11820" w:h="16860"/>
          <w:pgMar w:top="1433" w:right="1429" w:bottom="1830" w:left="1549" w:header="0" w:footer="1532" w:gutter="0"/>
        </w:sectPr>
        <w:rPr>
          <w:sz w:val="30"/>
          <w:szCs w:val="30"/>
        </w:rPr>
      </w:pP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spacing w:before="101" w:line="346" w:lineRule="auto"/>
        <w:jc w:val="both"/>
        <w:rPr>
          <w:sz w:val="31"/>
          <w:szCs w:val="31"/>
        </w:rPr>
      </w:pPr>
      <w:r>
        <w:rPr>
          <w:sz w:val="31"/>
          <w:szCs w:val="31"/>
          <w:spacing w:val="-5"/>
        </w:rPr>
        <w:t>性租赁住房小区公布市州主管部门举报投诉电话，征集问题线索。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3"/>
        </w:rPr>
        <w:t>要建立问题清单，按照整改时限明、措施明、目标明</w:t>
      </w:r>
      <w:r>
        <w:rPr>
          <w:sz w:val="31"/>
          <w:szCs w:val="31"/>
          <w:spacing w:val="2"/>
        </w:rPr>
        <w:t>、成效明的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18"/>
        </w:rPr>
        <w:t>要求，确保整改质效提升。请于3月15日前，将自查工作开展</w:t>
      </w:r>
      <w:r>
        <w:rPr>
          <w:sz w:val="31"/>
          <w:szCs w:val="31"/>
          <w:spacing w:val="13"/>
        </w:rPr>
        <w:t xml:space="preserve"> </w:t>
      </w:r>
      <w:r>
        <w:rPr>
          <w:sz w:val="31"/>
          <w:szCs w:val="31"/>
          <w:spacing w:val="2"/>
        </w:rPr>
        <w:t>和问题整改情况、《湖南省配租型保障性住房清查整</w:t>
      </w:r>
      <w:r>
        <w:rPr>
          <w:sz w:val="31"/>
          <w:szCs w:val="31"/>
          <w:spacing w:val="1"/>
        </w:rPr>
        <w:t>治工作情况</w:t>
      </w:r>
    </w:p>
    <w:p>
      <w:pPr>
        <w:pStyle w:val="BodyText"/>
        <w:spacing w:line="222" w:lineRule="auto"/>
        <w:rPr>
          <w:sz w:val="31"/>
          <w:szCs w:val="31"/>
        </w:rPr>
      </w:pPr>
      <w:r>
        <w:rPr>
          <w:sz w:val="31"/>
          <w:szCs w:val="31"/>
          <w:spacing w:val="9"/>
        </w:rPr>
        <w:t>表》(见附件)报送我厅。</w:t>
      </w:r>
    </w:p>
    <w:p>
      <w:pPr>
        <w:ind w:left="764"/>
        <w:spacing w:before="151" w:line="225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32"/>
        </w:rPr>
        <w:t>(三)督查整改阶段(2024年3月15日-3月31日</w:t>
      </w:r>
      <w:r>
        <w:rPr>
          <w:rFonts w:ascii="KaiTi" w:hAnsi="KaiTi" w:eastAsia="KaiTi" w:cs="KaiTi"/>
          <w:sz w:val="31"/>
          <w:szCs w:val="31"/>
          <w:spacing w:val="-21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32"/>
        </w:rPr>
        <w:t>)</w:t>
      </w:r>
    </w:p>
    <w:p>
      <w:pPr>
        <w:pStyle w:val="BodyText"/>
        <w:ind w:right="74" w:firstLine="630"/>
        <w:spacing w:before="222" w:line="340" w:lineRule="auto"/>
        <w:rPr>
          <w:sz w:val="31"/>
          <w:szCs w:val="31"/>
        </w:rPr>
      </w:pPr>
      <w:r>
        <w:rPr>
          <w:sz w:val="31"/>
          <w:szCs w:val="31"/>
          <w:spacing w:val="3"/>
        </w:rPr>
        <w:t>根据各地清查整治工作推进情况，省厅将邀请驻厅纪检监察</w:t>
      </w:r>
      <w:r>
        <w:rPr>
          <w:sz w:val="31"/>
          <w:szCs w:val="31"/>
          <w:spacing w:val="1"/>
        </w:rPr>
        <w:t xml:space="preserve"> </w:t>
      </w:r>
      <w:r>
        <w:rPr>
          <w:sz w:val="31"/>
          <w:szCs w:val="31"/>
          <w:spacing w:val="-8"/>
        </w:rPr>
        <w:t>组采取“四不两直”等方式开展抽查，对清查整治工作推进不</w:t>
      </w:r>
      <w:r>
        <w:rPr>
          <w:sz w:val="31"/>
          <w:szCs w:val="31"/>
          <w:spacing w:val="-9"/>
        </w:rPr>
        <w:t>严不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2"/>
        </w:rPr>
        <w:t>实，发现问题线索多、清查整治不力的地方进行实地督查</w:t>
      </w:r>
      <w:r>
        <w:rPr>
          <w:sz w:val="31"/>
          <w:szCs w:val="31"/>
          <w:spacing w:val="1"/>
        </w:rPr>
        <w:t>、现场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督办、通报约谈。对发现党员干部、公职人员违</w:t>
      </w:r>
      <w:r>
        <w:rPr>
          <w:sz w:val="31"/>
          <w:szCs w:val="31"/>
          <w:spacing w:val="-1"/>
        </w:rPr>
        <w:t>纪违法问题的，</w:t>
      </w:r>
    </w:p>
    <w:p>
      <w:pPr>
        <w:pStyle w:val="BodyText"/>
        <w:spacing w:before="1" w:line="221" w:lineRule="auto"/>
        <w:rPr>
          <w:sz w:val="31"/>
          <w:szCs w:val="31"/>
        </w:rPr>
      </w:pPr>
      <w:r>
        <w:rPr>
          <w:sz w:val="31"/>
          <w:szCs w:val="31"/>
          <w:spacing w:val="-7"/>
        </w:rPr>
        <w:t>按权限及时移送相关部门。</w:t>
      </w:r>
    </w:p>
    <w:p>
      <w:pPr>
        <w:ind w:left="774"/>
        <w:spacing w:before="200" w:line="224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36"/>
        </w:rPr>
        <w:t>(四)总结提升阶段(2024年4月15日前)</w:t>
      </w:r>
    </w:p>
    <w:p>
      <w:pPr>
        <w:pStyle w:val="BodyText"/>
        <w:ind w:right="93" w:firstLine="630"/>
        <w:spacing w:before="229" w:line="346" w:lineRule="auto"/>
        <w:jc w:val="both"/>
        <w:rPr>
          <w:sz w:val="31"/>
          <w:szCs w:val="31"/>
        </w:rPr>
      </w:pPr>
      <w:r>
        <w:rPr>
          <w:sz w:val="31"/>
          <w:szCs w:val="31"/>
          <w:spacing w:val="1"/>
        </w:rPr>
        <w:t>各县市区要对本地清查整治工作进行全面总结分析，研究建</w:t>
      </w:r>
      <w:r>
        <w:rPr>
          <w:sz w:val="31"/>
          <w:szCs w:val="31"/>
          <w:spacing w:val="14"/>
        </w:rPr>
        <w:t xml:space="preserve"> </w:t>
      </w:r>
      <w:r>
        <w:rPr>
          <w:sz w:val="31"/>
          <w:szCs w:val="31"/>
          <w:spacing w:val="2"/>
        </w:rPr>
        <w:t>立健全长效工作机制，形成工作总结报告。各市州住房和城乡建</w:t>
      </w:r>
    </w:p>
    <w:p>
      <w:pPr>
        <w:pStyle w:val="BodyText"/>
        <w:spacing w:before="1" w:line="221" w:lineRule="auto"/>
        <w:rPr>
          <w:sz w:val="31"/>
          <w:szCs w:val="31"/>
        </w:rPr>
      </w:pPr>
      <w:r>
        <w:rPr>
          <w:sz w:val="31"/>
          <w:szCs w:val="31"/>
          <w:spacing w:val="14"/>
        </w:rPr>
        <w:t>设部门负责汇总本地区情况，于2024年4月15日前报送我厅。</w:t>
      </w:r>
    </w:p>
    <w:p>
      <w:pPr>
        <w:ind w:left="634"/>
        <w:spacing w:before="185" w:line="222" w:lineRule="auto"/>
        <w:outlineLvl w:val="1"/>
        <w:rPr>
          <w:rFonts w:ascii="SimHei" w:hAnsi="SimHei" w:eastAsia="SimHei" w:cs="SimHei"/>
          <w:sz w:val="31"/>
          <w:szCs w:val="31"/>
        </w:rPr>
      </w:pPr>
      <w:r>
        <w:rPr>
          <w:rFonts w:ascii="SimHei" w:hAnsi="SimHei" w:eastAsia="SimHei" w:cs="SimHei"/>
          <w:sz w:val="31"/>
          <w:szCs w:val="31"/>
          <w:b/>
          <w:bCs/>
          <w:spacing w:val="-2"/>
        </w:rPr>
        <w:t>四、工作要求</w:t>
      </w:r>
    </w:p>
    <w:p>
      <w:pPr>
        <w:pStyle w:val="BodyText"/>
        <w:ind w:right="85" w:firstLine="630"/>
        <w:spacing w:before="211" w:line="339" w:lineRule="auto"/>
        <w:jc w:val="both"/>
        <w:rPr>
          <w:sz w:val="31"/>
          <w:szCs w:val="31"/>
        </w:rPr>
      </w:pPr>
      <w:r>
        <w:rPr>
          <w:sz w:val="31"/>
          <w:szCs w:val="31"/>
          <w:spacing w:val="2"/>
        </w:rPr>
        <w:t>各市州和县市区要切实提高政治站位，深化思想认识，将此</w:t>
      </w:r>
      <w:r>
        <w:rPr>
          <w:sz w:val="31"/>
          <w:szCs w:val="31"/>
          <w:spacing w:val="9"/>
        </w:rPr>
        <w:t xml:space="preserve"> </w:t>
      </w:r>
      <w:r>
        <w:rPr>
          <w:sz w:val="31"/>
          <w:szCs w:val="31"/>
          <w:spacing w:val="-9"/>
        </w:rPr>
        <w:t>次清查整治工作作为“我为群众办实事”的具体举措，加强组织领</w:t>
      </w:r>
      <w:r>
        <w:rPr>
          <w:sz w:val="31"/>
          <w:szCs w:val="31"/>
          <w:spacing w:val="2"/>
        </w:rPr>
        <w:t xml:space="preserve"> </w:t>
      </w:r>
      <w:r>
        <w:rPr>
          <w:sz w:val="31"/>
          <w:szCs w:val="31"/>
          <w:spacing w:val="3"/>
        </w:rPr>
        <w:t>导，强化统筹协调，注重举一反三，健全完善制度</w:t>
      </w:r>
      <w:r>
        <w:rPr>
          <w:sz w:val="31"/>
          <w:szCs w:val="31"/>
          <w:spacing w:val="2"/>
        </w:rPr>
        <w:t>建设，加大内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2"/>
        </w:rPr>
        <w:t>部管理力度，确保清查整治各项工作任务落到实</w:t>
      </w:r>
      <w:r>
        <w:rPr>
          <w:sz w:val="31"/>
          <w:szCs w:val="31"/>
          <w:spacing w:val="1"/>
        </w:rPr>
        <w:t>处。在清查整治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2"/>
        </w:rPr>
        <w:t>过程中，对拟发布的相关新闻报道要加强分析研判，严格履行审</w:t>
      </w:r>
    </w:p>
    <w:p>
      <w:pPr>
        <w:pStyle w:val="BodyText"/>
        <w:spacing w:before="1" w:line="220" w:lineRule="auto"/>
        <w:rPr>
          <w:sz w:val="31"/>
          <w:szCs w:val="31"/>
        </w:rPr>
      </w:pPr>
      <w:r>
        <w:rPr>
          <w:sz w:val="31"/>
          <w:szCs w:val="31"/>
          <w:spacing w:val="-4"/>
        </w:rPr>
        <w:t>批程序，并做好舆情监测和应对工作。</w:t>
      </w:r>
    </w:p>
    <w:p>
      <w:pPr>
        <w:spacing w:line="220" w:lineRule="auto"/>
        <w:sectPr>
          <w:footerReference w:type="default" r:id="rId6"/>
          <w:pgSz w:w="11910" w:h="16830"/>
          <w:pgMar w:top="1430" w:right="1394" w:bottom="1767" w:left="1670" w:header="0" w:footer="1460" w:gutter="0"/>
        </w:sectPr>
        <w:rPr>
          <w:sz w:val="31"/>
          <w:szCs w:val="31"/>
        </w:rPr>
      </w:pPr>
    </w:p>
    <w:p>
      <w:pPr>
        <w:spacing w:line="358" w:lineRule="auto"/>
        <w:rPr>
          <w:rFonts w:ascii="Arial"/>
          <w:sz w:val="21"/>
        </w:rPr>
      </w:pPr>
      <w:r/>
    </w:p>
    <w:p>
      <w:pPr>
        <w:spacing w:line="358" w:lineRule="auto"/>
        <w:rPr>
          <w:rFonts w:ascii="Arial"/>
          <w:sz w:val="21"/>
        </w:rPr>
      </w:pPr>
      <w:r/>
    </w:p>
    <w:p>
      <w:pPr>
        <w:pStyle w:val="BodyText"/>
        <w:ind w:left="462"/>
        <w:spacing w:before="101" w:line="221" w:lineRule="auto"/>
        <w:rPr>
          <w:sz w:val="31"/>
          <w:szCs w:val="31"/>
        </w:rPr>
      </w:pPr>
      <w:r>
        <w:rPr>
          <w:sz w:val="31"/>
          <w:szCs w:val="31"/>
          <w:spacing w:val="6"/>
        </w:rPr>
        <w:t>联系人：住房保障处刘正东</w:t>
      </w:r>
      <w:r>
        <w:rPr>
          <w:sz w:val="31"/>
          <w:szCs w:val="31"/>
          <w:spacing w:val="143"/>
        </w:rPr>
        <w:t xml:space="preserve"> </w:t>
      </w:r>
      <w:r>
        <w:rPr>
          <w:sz w:val="31"/>
          <w:szCs w:val="31"/>
          <w:spacing w:val="6"/>
        </w:rPr>
        <w:t>联系电话：0731-88</w:t>
      </w:r>
      <w:r>
        <w:rPr>
          <w:sz w:val="31"/>
          <w:szCs w:val="31"/>
          <w:spacing w:val="5"/>
        </w:rPr>
        <w:t>950069</w:t>
      </w:r>
    </w:p>
    <w:p>
      <w:pPr>
        <w:pStyle w:val="BodyText"/>
        <w:ind w:left="462"/>
        <w:spacing w:before="168" w:line="21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spacing w:val="6"/>
        </w:rPr>
        <w:t>报送邮箱：1262570432@</w:t>
      </w:r>
      <w:r>
        <w:rPr>
          <w:rFonts w:ascii="Times New Roman" w:hAnsi="Times New Roman" w:eastAsia="Times New Roman" w:cs="Times New Roman"/>
          <w:sz w:val="31"/>
          <w:szCs w:val="31"/>
        </w:rPr>
        <w:t>qgcom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spacing w:before="101" w:line="220" w:lineRule="auto"/>
        <w:jc w:val="right"/>
        <w:rPr>
          <w:sz w:val="31"/>
          <w:szCs w:val="31"/>
        </w:rPr>
      </w:pPr>
      <w:r>
        <w:rPr>
          <w:sz w:val="31"/>
          <w:szCs w:val="31"/>
          <w:spacing w:val="8"/>
        </w:rPr>
        <w:t>附件：湖南省配租型保障性住房清查整治工作情况表(1-6)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4681" w:right="840" w:hanging="330"/>
        <w:spacing w:before="100" w:line="219" w:lineRule="auto"/>
        <w:rPr>
          <w:rFonts w:ascii="SimSun" w:hAnsi="SimSun" w:eastAsia="SimSun" w:cs="SimSun"/>
          <w:sz w:val="50"/>
          <w:szCs w:val="50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2947673</wp:posOffset>
            </wp:positionH>
            <wp:positionV relativeFrom="paragraph">
              <wp:posOffset>-540114</wp:posOffset>
            </wp:positionV>
            <wp:extent cx="1619279" cy="163197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9279" cy="1631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spacing w:val="-1"/>
        </w:rPr>
        <w:t>湖青省住房和城乡建设厅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SimSun" w:hAnsi="SimSun" w:eastAsia="SimSun" w:cs="SimSun"/>
          <w:sz w:val="50"/>
          <w:szCs w:val="50"/>
          <w:spacing w:val="-62"/>
        </w:rPr>
        <w:t>2023年12月19日</w:t>
      </w:r>
    </w:p>
    <w:p>
      <w:pPr>
        <w:spacing w:line="219" w:lineRule="auto"/>
        <w:sectPr>
          <w:footerReference w:type="default" r:id="rId7"/>
          <w:pgSz w:w="11920" w:h="17010"/>
          <w:pgMar w:top="1445" w:right="1540" w:bottom="1955" w:left="1788" w:header="0" w:footer="1649" w:gutter="0"/>
        </w:sectPr>
        <w:rPr>
          <w:rFonts w:ascii="SimSun" w:hAnsi="SimSun" w:eastAsia="SimSun" w:cs="SimSun"/>
          <w:sz w:val="50"/>
          <w:szCs w:val="50"/>
        </w:rPr>
      </w:pPr>
    </w:p>
    <w:p>
      <w:pPr>
        <w:spacing w:before="43" w:line="219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20"/>
        </w:rPr>
        <w:t>附件1</w:t>
      </w:r>
    </w:p>
    <w:p>
      <w:pPr>
        <w:spacing w:line="347" w:lineRule="auto"/>
        <w:rPr>
          <w:rFonts w:ascii="Arial"/>
          <w:sz w:val="21"/>
        </w:rPr>
      </w:pPr>
      <w:r/>
    </w:p>
    <w:p>
      <w:pPr>
        <w:spacing w:line="348" w:lineRule="auto"/>
        <w:rPr>
          <w:rFonts w:ascii="Arial"/>
          <w:sz w:val="21"/>
        </w:rPr>
      </w:pPr>
      <w:r/>
    </w:p>
    <w:p>
      <w:pPr>
        <w:ind w:left="4475"/>
        <w:spacing w:before="117" w:line="220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b/>
          <w:bCs/>
          <w:spacing w:val="-5"/>
        </w:rPr>
        <w:t>公租房保障范围和保障对象管理情况调查表</w:t>
      </w:r>
    </w:p>
    <w:p>
      <w:pPr>
        <w:spacing w:line="90" w:lineRule="exact"/>
        <w:rPr/>
      </w:pPr>
      <w:r/>
    </w:p>
    <w:tbl>
      <w:tblPr>
        <w:tblStyle w:val="TableNormal"/>
        <w:tblW w:w="15630" w:type="dxa"/>
        <w:tblInd w:w="3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924"/>
        <w:gridCol w:w="639"/>
        <w:gridCol w:w="410"/>
        <w:gridCol w:w="400"/>
        <w:gridCol w:w="599"/>
        <w:gridCol w:w="770"/>
        <w:gridCol w:w="769"/>
        <w:gridCol w:w="460"/>
        <w:gridCol w:w="719"/>
        <w:gridCol w:w="400"/>
        <w:gridCol w:w="729"/>
        <w:gridCol w:w="500"/>
        <w:gridCol w:w="440"/>
        <w:gridCol w:w="899"/>
        <w:gridCol w:w="460"/>
        <w:gridCol w:w="460"/>
        <w:gridCol w:w="869"/>
        <w:gridCol w:w="430"/>
        <w:gridCol w:w="460"/>
        <w:gridCol w:w="839"/>
        <w:gridCol w:w="430"/>
        <w:gridCol w:w="490"/>
        <w:gridCol w:w="510"/>
        <w:gridCol w:w="720"/>
        <w:gridCol w:w="650"/>
        <w:gridCol w:w="654"/>
      </w:tblGrid>
      <w:tr>
        <w:trPr>
          <w:trHeight w:val="1522" w:hRule="atLeast"/>
        </w:trPr>
        <w:tc>
          <w:tcPr>
            <w:tcW w:w="92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ind w:left="284"/>
              <w:spacing w:before="52"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9"/>
              </w:rPr>
              <w:t>市州</w:t>
            </w:r>
          </w:p>
        </w:tc>
        <w:tc>
          <w:tcPr>
            <w:tcW w:w="6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61"/>
              <w:spacing w:before="52"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县市区</w:t>
            </w:r>
          </w:p>
        </w:tc>
        <w:tc>
          <w:tcPr>
            <w:tcW w:w="810" w:type="dxa"/>
            <w:vAlign w:val="top"/>
            <w:gridSpan w:val="2"/>
          </w:tcPr>
          <w:p>
            <w:pPr>
              <w:ind w:left="72"/>
              <w:spacing w:before="171" w:line="20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是否根据</w:t>
            </w:r>
          </w:p>
          <w:p>
            <w:pPr>
              <w:ind w:left="72"/>
              <w:spacing w:line="19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省2021年</w:t>
            </w:r>
          </w:p>
          <w:p>
            <w:pPr>
              <w:ind w:left="72"/>
              <w:spacing w:line="193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>出台的公</w:t>
            </w:r>
          </w:p>
          <w:p>
            <w:pPr>
              <w:ind w:left="72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租房管理</w:t>
            </w:r>
          </w:p>
          <w:p>
            <w:pPr>
              <w:ind w:left="72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办法出台</w:t>
            </w:r>
          </w:p>
          <w:p>
            <w:pPr>
              <w:ind w:left="82"/>
              <w:spacing w:line="195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具体落实</w:t>
            </w:r>
          </w:p>
          <w:p>
            <w:pPr>
              <w:ind w:left="232"/>
              <w:spacing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办法</w:t>
            </w:r>
          </w:p>
        </w:tc>
        <w:tc>
          <w:tcPr>
            <w:tcW w:w="2138" w:type="dxa"/>
            <w:vAlign w:val="top"/>
            <w:gridSpan w:val="3"/>
          </w:tcPr>
          <w:p>
            <w:pPr>
              <w:pStyle w:val="TableText"/>
              <w:spacing w:line="456" w:lineRule="auto"/>
              <w:rPr/>
            </w:pPr>
            <w:r/>
          </w:p>
          <w:p>
            <w:pPr>
              <w:ind w:left="21"/>
              <w:spacing w:before="52"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是否按照要求制定或定期调整</w:t>
            </w:r>
          </w:p>
          <w:p>
            <w:pPr>
              <w:spacing w:line="219" w:lineRule="auto"/>
              <w:jc w:val="right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>公租房保障范围、保障条件、</w:t>
            </w:r>
          </w:p>
          <w:p>
            <w:pPr>
              <w:ind w:left="342"/>
              <w:spacing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保障标准等相关规定</w:t>
            </w:r>
          </w:p>
        </w:tc>
        <w:tc>
          <w:tcPr>
            <w:tcW w:w="1179" w:type="dxa"/>
            <w:vAlign w:val="top"/>
            <w:gridSpan w:val="2"/>
          </w:tcPr>
          <w:p>
            <w:pPr>
              <w:ind w:left="24"/>
              <w:spacing w:before="241" w:line="20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是否按照规定将</w:t>
            </w:r>
          </w:p>
          <w:p>
            <w:pPr>
              <w:ind w:left="14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公租房管理办法</w:t>
            </w:r>
          </w:p>
          <w:p>
            <w:pPr>
              <w:ind w:left="34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及公租房保障范</w:t>
            </w:r>
          </w:p>
          <w:p>
            <w:pPr>
              <w:spacing w:line="196" w:lineRule="auto"/>
              <w:jc w:val="right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3"/>
              </w:rPr>
              <w:t>围、保障条件、</w:t>
            </w:r>
          </w:p>
          <w:p>
            <w:pPr>
              <w:ind w:left="14"/>
              <w:spacing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保障标准进行公</w:t>
            </w:r>
          </w:p>
          <w:p>
            <w:pPr>
              <w:ind w:left="504"/>
              <w:spacing w:before="1" w:line="22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示</w:t>
            </w:r>
          </w:p>
        </w:tc>
        <w:tc>
          <w:tcPr>
            <w:tcW w:w="1629" w:type="dxa"/>
            <w:vAlign w:val="top"/>
            <w:gridSpan w:val="3"/>
          </w:tcPr>
          <w:p>
            <w:pPr>
              <w:ind w:left="5"/>
              <w:spacing w:before="250" w:line="199" w:lineRule="auto"/>
              <w:jc w:val="both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审核把关不严，不按规</w:t>
            </w:r>
            <w:r>
              <w:rPr>
                <w:rFonts w:ascii="SimSun" w:hAnsi="SimSun" w:eastAsia="SimSun" w:cs="SimSun"/>
                <w:sz w:val="16"/>
                <w:szCs w:val="16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定办事，优亲厚友，将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1"/>
              </w:rPr>
              <w:t>不符合保障条件的人员</w:t>
            </w: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纳入公租房保障范围情</w:t>
            </w:r>
            <w:r>
              <w:rPr>
                <w:rFonts w:ascii="SimSun" w:hAnsi="SimSun" w:eastAsia="SimSun" w:cs="SimSun"/>
                <w:sz w:val="16"/>
                <w:szCs w:val="16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3"/>
              </w:rPr>
              <w:t>况(2023年起截止目</w:t>
            </w:r>
          </w:p>
          <w:p>
            <w:pPr>
              <w:ind w:left="685"/>
              <w:spacing w:line="22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前</w:t>
            </w:r>
            <w:r>
              <w:rPr>
                <w:rFonts w:ascii="SimSun" w:hAnsi="SimSun" w:eastAsia="SimSun" w:cs="SimSun"/>
                <w:sz w:val="16"/>
                <w:szCs w:val="16"/>
                <w:spacing w:val="-30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)</w:t>
            </w:r>
          </w:p>
        </w:tc>
        <w:tc>
          <w:tcPr>
            <w:tcW w:w="1799" w:type="dxa"/>
            <w:vAlign w:val="top"/>
            <w:gridSpan w:val="3"/>
          </w:tcPr>
          <w:p>
            <w:pPr>
              <w:pStyle w:val="TableText"/>
              <w:spacing w:line="277" w:lineRule="auto"/>
              <w:rPr/>
            </w:pPr>
            <w:r/>
          </w:p>
          <w:p>
            <w:pPr>
              <w:ind w:left="16"/>
              <w:spacing w:before="52" w:line="20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保障对象个人信息动态监</w:t>
            </w:r>
          </w:p>
          <w:p>
            <w:pPr>
              <w:ind w:left="16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管不到位，对条件发生变</w:t>
            </w:r>
          </w:p>
          <w:p>
            <w:pPr>
              <w:ind w:left="16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化不再符合保障条件的对</w:t>
            </w:r>
          </w:p>
          <w:p>
            <w:pPr>
              <w:ind w:left="96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象实施公租房保障情况</w:t>
            </w:r>
          </w:p>
          <w:p>
            <w:pPr>
              <w:ind w:left="176"/>
              <w:spacing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>(2023年起截止目前)</w:t>
            </w:r>
          </w:p>
        </w:tc>
        <w:tc>
          <w:tcPr>
            <w:tcW w:w="1759" w:type="dxa"/>
            <w:vAlign w:val="top"/>
            <w:gridSpan w:val="3"/>
          </w:tcPr>
          <w:p>
            <w:pPr>
              <w:pStyle w:val="TableText"/>
              <w:spacing w:line="298" w:lineRule="auto"/>
              <w:rPr/>
            </w:pPr>
            <w:r/>
          </w:p>
          <w:p>
            <w:pPr>
              <w:ind w:left="17" w:firstLine="59"/>
              <w:spacing w:before="52" w:line="190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相关工作人员不认真履</w:t>
            </w: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 xml:space="preserve">  </w:t>
            </w: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行工作职责，将本来符合</w:t>
            </w:r>
          </w:p>
          <w:p>
            <w:pPr>
              <w:ind w:left="77"/>
              <w:spacing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"/>
              </w:rPr>
              <w:t>条件的保障对象拒之门</w:t>
            </w:r>
          </w:p>
          <w:p>
            <w:pPr>
              <w:ind w:left="97"/>
              <w:spacing w:line="19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外情况(2023年起截止</w:t>
            </w:r>
          </w:p>
          <w:p>
            <w:pPr>
              <w:ind w:left="677"/>
              <w:spacing w:line="22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1"/>
              </w:rPr>
              <w:t>目前)</w:t>
            </w:r>
          </w:p>
        </w:tc>
        <w:tc>
          <w:tcPr>
            <w:tcW w:w="1729" w:type="dxa"/>
            <w:vAlign w:val="top"/>
            <w:gridSpan w:val="3"/>
          </w:tcPr>
          <w:p>
            <w:pPr>
              <w:pStyle w:val="TableText"/>
              <w:spacing w:line="356" w:lineRule="auto"/>
              <w:rPr/>
            </w:pPr>
            <w:r/>
          </w:p>
          <w:p>
            <w:pPr>
              <w:ind w:left="58"/>
              <w:spacing w:before="52"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保障对象采取贿赂、欺</w:t>
            </w:r>
          </w:p>
          <w:p>
            <w:pPr>
              <w:ind w:left="78"/>
              <w:spacing w:before="1" w:line="19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骗等手段获得公租房保</w:t>
            </w:r>
          </w:p>
          <w:p>
            <w:pPr>
              <w:ind w:left="98"/>
              <w:spacing w:line="20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障情况(2023年起截止</w:t>
            </w:r>
          </w:p>
          <w:p>
            <w:pPr>
              <w:ind w:left="658"/>
              <w:spacing w:line="22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1"/>
              </w:rPr>
              <w:t>目前)</w:t>
            </w:r>
          </w:p>
        </w:tc>
        <w:tc>
          <w:tcPr>
            <w:tcW w:w="1720" w:type="dxa"/>
            <w:vAlign w:val="top"/>
            <w:gridSpan w:val="3"/>
          </w:tcPr>
          <w:p>
            <w:pPr>
              <w:pStyle w:val="TableText"/>
              <w:spacing w:line="273" w:lineRule="auto"/>
              <w:rPr/>
            </w:pPr>
            <w:r/>
          </w:p>
          <w:p>
            <w:pPr>
              <w:pStyle w:val="TableText"/>
              <w:spacing w:line="273" w:lineRule="auto"/>
              <w:rPr/>
            </w:pPr>
            <w:r/>
          </w:p>
          <w:p>
            <w:pPr>
              <w:ind w:left="538" w:right="139" w:hanging="399"/>
              <w:spacing w:before="52" w:line="207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是否设立并公布监督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举报电话</w:t>
            </w:r>
          </w:p>
        </w:tc>
        <w:tc>
          <w:tcPr>
            <w:tcW w:w="1304" w:type="dxa"/>
            <w:vAlign w:val="top"/>
            <w:gridSpan w:val="2"/>
          </w:tcPr>
          <w:p>
            <w:pPr>
              <w:pStyle w:val="TableText"/>
              <w:spacing w:line="446" w:lineRule="auto"/>
              <w:rPr/>
            </w:pPr>
            <w:r/>
          </w:p>
          <w:p>
            <w:pPr>
              <w:ind w:right="2"/>
              <w:spacing w:before="52" w:line="208" w:lineRule="auto"/>
              <w:jc w:val="right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是否设立信访举报</w:t>
            </w:r>
          </w:p>
          <w:p>
            <w:pPr>
              <w:ind w:left="49"/>
              <w:spacing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1"/>
              </w:rPr>
              <w:t>投诉台账(2023年</w:t>
            </w:r>
          </w:p>
          <w:p>
            <w:pPr>
              <w:ind w:left="209"/>
              <w:spacing w:line="220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起截止目前)</w:t>
            </w:r>
          </w:p>
        </w:tc>
      </w:tr>
      <w:tr>
        <w:trPr>
          <w:trHeight w:val="849" w:hRule="atLeast"/>
        </w:trPr>
        <w:tc>
          <w:tcPr>
            <w:tcW w:w="92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ind w:left="12"/>
              <w:spacing w:before="276" w:line="22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</w:rPr>
              <w:t>露</w:t>
            </w:r>
          </w:p>
        </w:tc>
        <w:tc>
          <w:tcPr>
            <w:tcW w:w="400" w:type="dxa"/>
            <w:vAlign w:val="top"/>
          </w:tcPr>
          <w:p>
            <w:pPr>
              <w:ind w:left="12" w:right="30" w:firstLine="9"/>
              <w:spacing w:before="231" w:line="20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8"/>
              </w:rPr>
              <w:t>出台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7"/>
              </w:rPr>
              <w:t>时间</w:t>
            </w:r>
          </w:p>
        </w:tc>
        <w:tc>
          <w:tcPr>
            <w:tcW w:w="599" w:type="dxa"/>
            <w:vAlign w:val="top"/>
          </w:tcPr>
          <w:p>
            <w:pPr>
              <w:ind w:left="52" w:right="43"/>
              <w:spacing w:before="169" w:line="229" w:lineRule="auto"/>
              <w:jc w:val="both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4"/>
              </w:rPr>
              <w:t>是否制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0"/>
                <w:szCs w:val="10"/>
                <w:spacing w:val="-3"/>
              </w:rPr>
              <w:t>定</w:t>
            </w:r>
            <w:r>
              <w:rPr>
                <w:rFonts w:ascii="SimSun" w:hAnsi="SimSun" w:eastAsia="SimSun" w:cs="SimSun"/>
                <w:sz w:val="10"/>
                <w:szCs w:val="10"/>
                <w:spacing w:val="41"/>
                <w:w w:val="101"/>
              </w:rPr>
              <w:t xml:space="preserve"> </w:t>
            </w:r>
            <w:r>
              <w:rPr>
                <w:rFonts w:ascii="SimSun" w:hAnsi="SimSun" w:eastAsia="SimSun" w:cs="SimSun"/>
                <w:sz w:val="10"/>
                <w:szCs w:val="10"/>
                <w:spacing w:val="-3"/>
              </w:rPr>
              <w:t>或</w:t>
            </w:r>
            <w:r>
              <w:rPr>
                <w:rFonts w:ascii="SimSun" w:hAnsi="SimSun" w:eastAsia="SimSun" w:cs="SimSun"/>
                <w:sz w:val="10"/>
                <w:szCs w:val="10"/>
                <w:spacing w:val="43"/>
              </w:rPr>
              <w:t xml:space="preserve"> </w:t>
            </w:r>
            <w:r>
              <w:rPr>
                <w:rFonts w:ascii="SimSun" w:hAnsi="SimSun" w:eastAsia="SimSun" w:cs="SimSun"/>
                <w:sz w:val="10"/>
                <w:szCs w:val="10"/>
                <w:spacing w:val="-3"/>
              </w:rPr>
              <w:t>定</w:t>
            </w:r>
            <w:r>
              <w:rPr>
                <w:rFonts w:ascii="SimSun" w:hAnsi="SimSun" w:eastAsia="SimSun" w:cs="SimSun"/>
                <w:sz w:val="10"/>
                <w:szCs w:val="10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期调整</w:t>
            </w:r>
          </w:p>
        </w:tc>
        <w:tc>
          <w:tcPr>
            <w:tcW w:w="770" w:type="dxa"/>
            <w:vAlign w:val="top"/>
          </w:tcPr>
          <w:p>
            <w:pPr>
              <w:pStyle w:val="TableText"/>
              <w:spacing w:line="296" w:lineRule="auto"/>
              <w:rPr/>
            </w:pPr>
            <w:r/>
          </w:p>
          <w:p>
            <w:pPr>
              <w:ind w:left="43"/>
              <w:spacing w:before="52" w:line="220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调整周期</w:t>
            </w:r>
          </w:p>
        </w:tc>
        <w:tc>
          <w:tcPr>
            <w:tcW w:w="769" w:type="dxa"/>
            <w:vAlign w:val="top"/>
          </w:tcPr>
          <w:p>
            <w:pPr>
              <w:ind w:left="53" w:right="50"/>
              <w:spacing w:before="268" w:line="21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最近一次</w:t>
            </w:r>
            <w:r>
              <w:rPr>
                <w:rFonts w:ascii="SimSun" w:hAnsi="SimSun" w:eastAsia="SimSun" w:cs="SimSun"/>
                <w:sz w:val="16"/>
                <w:szCs w:val="16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3"/>
              </w:rPr>
              <w:t>调整时间</w:t>
            </w:r>
          </w:p>
        </w:tc>
        <w:tc>
          <w:tcPr>
            <w:tcW w:w="460" w:type="dxa"/>
            <w:vAlign w:val="top"/>
          </w:tcPr>
          <w:p>
            <w:pPr>
              <w:ind w:left="64" w:right="54"/>
              <w:spacing w:before="249" w:line="20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是否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公示</w:t>
            </w:r>
          </w:p>
        </w:tc>
        <w:tc>
          <w:tcPr>
            <w:tcW w:w="719" w:type="dxa"/>
            <w:vAlign w:val="top"/>
          </w:tcPr>
          <w:p>
            <w:pPr>
              <w:ind w:left="113" w:right="46" w:hanging="79"/>
              <w:spacing w:before="251" w:line="213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公示方式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及范围</w:t>
            </w:r>
          </w:p>
        </w:tc>
        <w:tc>
          <w:tcPr>
            <w:tcW w:w="400" w:type="dxa"/>
            <w:vAlign w:val="top"/>
          </w:tcPr>
          <w:p>
            <w:pPr>
              <w:ind w:left="35" w:right="40"/>
              <w:spacing w:before="260" w:line="213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发生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批次</w:t>
            </w:r>
          </w:p>
        </w:tc>
        <w:tc>
          <w:tcPr>
            <w:tcW w:w="729" w:type="dxa"/>
            <w:vAlign w:val="top"/>
          </w:tcPr>
          <w:p>
            <w:pPr>
              <w:ind w:left="35" w:right="49"/>
              <w:spacing w:before="258" w:line="20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涉及保障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对象数量</w:t>
            </w:r>
          </w:p>
        </w:tc>
        <w:tc>
          <w:tcPr>
            <w:tcW w:w="500" w:type="dxa"/>
            <w:vAlign w:val="top"/>
          </w:tcPr>
          <w:p>
            <w:pPr>
              <w:ind w:left="85" w:right="90"/>
              <w:spacing w:before="263" w:line="20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处理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4"/>
              </w:rPr>
              <w:t>情况</w:t>
            </w:r>
          </w:p>
        </w:tc>
        <w:tc>
          <w:tcPr>
            <w:tcW w:w="440" w:type="dxa"/>
            <w:vAlign w:val="top"/>
          </w:tcPr>
          <w:p>
            <w:pPr>
              <w:ind w:left="16"/>
              <w:spacing w:before="276" w:line="22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</w:rPr>
              <w:t>续</w:t>
            </w:r>
          </w:p>
        </w:tc>
        <w:tc>
          <w:tcPr>
            <w:tcW w:w="899" w:type="dxa"/>
            <w:vAlign w:val="top"/>
          </w:tcPr>
          <w:p>
            <w:pPr>
              <w:pStyle w:val="TableText"/>
              <w:spacing w:line="249" w:lineRule="auto"/>
              <w:rPr/>
            </w:pPr>
            <w:r/>
          </w:p>
          <w:p>
            <w:pPr>
              <w:spacing w:before="72" w:line="220" w:lineRule="auto"/>
              <w:jc w:val="righ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9"/>
              </w:rPr>
              <w:t>费聚</w:t>
            </w:r>
            <w:r>
              <w:rPr>
                <w:rFonts w:ascii="SimSun" w:hAnsi="SimSun" w:eastAsia="SimSun" w:cs="SimSun"/>
                <w:sz w:val="22"/>
                <w:szCs w:val="22"/>
                <w:spacing w:val="-18"/>
              </w:rPr>
              <w:t>级</w:t>
            </w:r>
            <w:r>
              <w:rPr>
                <w:rFonts w:ascii="SimSun" w:hAnsi="SimSun" w:eastAsia="SimSun" w:cs="SimSun"/>
                <w:sz w:val="22"/>
                <w:szCs w:val="22"/>
                <w:spacing w:val="-12"/>
              </w:rPr>
              <w:t>整</w:t>
            </w:r>
          </w:p>
        </w:tc>
        <w:tc>
          <w:tcPr>
            <w:tcW w:w="460" w:type="dxa"/>
            <w:vAlign w:val="top"/>
          </w:tcPr>
          <w:p>
            <w:pPr>
              <w:ind w:left="17"/>
              <w:spacing w:before="276" w:line="220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</w:rPr>
              <w:t>覆</w:t>
            </w:r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ind w:left="107" w:right="117"/>
              <w:spacing w:before="248" w:line="208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涉及保障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对象数量</w:t>
            </w:r>
          </w:p>
        </w:tc>
        <w:tc>
          <w:tcPr>
            <w:tcW w:w="430" w:type="dxa"/>
            <w:vAlign w:val="top"/>
          </w:tcPr>
          <w:p>
            <w:pPr>
              <w:ind w:left="48" w:right="58"/>
              <w:spacing w:before="232" w:line="224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处理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4"/>
              </w:rPr>
              <w:t>情况</w:t>
            </w:r>
          </w:p>
        </w:tc>
        <w:tc>
          <w:tcPr>
            <w:tcW w:w="460" w:type="dxa"/>
            <w:vAlign w:val="top"/>
          </w:tcPr>
          <w:p>
            <w:pPr>
              <w:ind w:left="68" w:right="67"/>
              <w:spacing w:before="260" w:line="207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发生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批次</w:t>
            </w:r>
          </w:p>
        </w:tc>
        <w:tc>
          <w:tcPr>
            <w:tcW w:w="839" w:type="dxa"/>
            <w:vAlign w:val="top"/>
          </w:tcPr>
          <w:p>
            <w:pPr>
              <w:ind w:left="98" w:right="96"/>
              <w:spacing w:before="239" w:line="219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涉及保障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2"/>
              </w:rPr>
              <w:t>对象数量</w:t>
            </w:r>
          </w:p>
        </w:tc>
        <w:tc>
          <w:tcPr>
            <w:tcW w:w="430" w:type="dxa"/>
            <w:vAlign w:val="top"/>
          </w:tcPr>
          <w:p>
            <w:pPr>
              <w:ind w:left="49" w:right="57"/>
              <w:spacing w:before="233" w:line="20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5"/>
              </w:rPr>
              <w:t>处理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-4"/>
              </w:rPr>
              <w:t>情况</w:t>
            </w:r>
          </w:p>
        </w:tc>
        <w:tc>
          <w:tcPr>
            <w:tcW w:w="490" w:type="dxa"/>
            <w:vAlign w:val="top"/>
          </w:tcPr>
          <w:p>
            <w:pPr>
              <w:ind w:left="29"/>
              <w:spacing w:before="281" w:line="223" w:lineRule="auto"/>
              <w:rPr>
                <w:rFonts w:ascii="SimSun" w:hAnsi="SimSun" w:eastAsia="SimSun" w:cs="SimSun"/>
                <w:sz w:val="31"/>
                <w:szCs w:val="31"/>
              </w:rPr>
            </w:pPr>
            <w:r>
              <w:rPr>
                <w:rFonts w:ascii="SimSun" w:hAnsi="SimSun" w:eastAsia="SimSun" w:cs="SimSun"/>
                <w:sz w:val="31"/>
                <w:szCs w:val="31"/>
              </w:rPr>
              <w:t>髓</w:t>
            </w:r>
          </w:p>
        </w:tc>
        <w:tc>
          <w:tcPr>
            <w:tcW w:w="510" w:type="dxa"/>
            <w:vAlign w:val="top"/>
            <w:textDirection w:val="tbRlV"/>
          </w:tcPr>
          <w:p>
            <w:pPr>
              <w:ind w:left="242"/>
              <w:spacing w:before="90" w:line="19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话码</w:t>
            </w:r>
          </w:p>
          <w:p>
            <w:pPr>
              <w:ind w:left="244"/>
              <w:spacing w:line="217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电号</w:t>
            </w:r>
          </w:p>
        </w:tc>
        <w:tc>
          <w:tcPr>
            <w:tcW w:w="720" w:type="dxa"/>
            <w:vAlign w:val="top"/>
          </w:tcPr>
          <w:p>
            <w:pPr>
              <w:ind w:left="109" w:right="42" w:hanging="70"/>
              <w:spacing w:before="239" w:line="220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-3"/>
              </w:rPr>
              <w:t>公布方式</w:t>
            </w:r>
            <w:r>
              <w:rPr>
                <w:rFonts w:ascii="SimSun" w:hAnsi="SimSun" w:eastAsia="SimSun" w:cs="SimSun"/>
                <w:sz w:val="16"/>
                <w:szCs w:val="16"/>
              </w:rPr>
              <w:t xml:space="preserve"> </w:t>
            </w:r>
            <w:r>
              <w:rPr>
                <w:rFonts w:ascii="SimSun" w:hAnsi="SimSun" w:eastAsia="SimSun" w:cs="SimSun"/>
                <w:sz w:val="16"/>
                <w:szCs w:val="16"/>
                <w:spacing w:val="5"/>
              </w:rPr>
              <w:t>及范围</w:t>
            </w:r>
          </w:p>
        </w:tc>
        <w:tc>
          <w:tcPr>
            <w:tcW w:w="650" w:type="dxa"/>
            <w:vAlign w:val="top"/>
            <w:textDirection w:val="tbRlV"/>
          </w:tcPr>
          <w:p>
            <w:pPr>
              <w:ind w:left="252"/>
              <w:spacing w:before="140" w:line="19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  <w:spacing w:val="14"/>
              </w:rPr>
              <w:t>否立</w:t>
            </w:r>
          </w:p>
          <w:p>
            <w:pPr>
              <w:ind w:left="252"/>
              <w:spacing w:line="217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是设</w:t>
            </w:r>
          </w:p>
        </w:tc>
        <w:tc>
          <w:tcPr>
            <w:tcW w:w="654" w:type="dxa"/>
            <w:vAlign w:val="top"/>
            <w:textDirection w:val="tbRlV"/>
          </w:tcPr>
          <w:p>
            <w:pPr>
              <w:ind w:left="264"/>
              <w:spacing w:before="144" w:line="191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访数</w:t>
            </w:r>
          </w:p>
          <w:p>
            <w:pPr>
              <w:ind w:left="244"/>
              <w:spacing w:line="216" w:lineRule="auto"/>
              <w:rPr>
                <w:rFonts w:ascii="SimSun" w:hAnsi="SimSun" w:eastAsia="SimSun" w:cs="SimSun"/>
                <w:sz w:val="16"/>
                <w:szCs w:val="16"/>
              </w:rPr>
            </w:pPr>
            <w:r>
              <w:rPr>
                <w:rFonts w:ascii="SimSun" w:hAnsi="SimSun" w:eastAsia="SimSun" w:cs="SimSun"/>
                <w:sz w:val="16"/>
                <w:szCs w:val="16"/>
              </w:rPr>
              <w:t>信次</w:t>
            </w:r>
          </w:p>
        </w:tc>
      </w:tr>
      <w:tr>
        <w:trPr>
          <w:trHeight w:val="439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39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29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39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39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39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44" w:hRule="atLeast"/>
        </w:trPr>
        <w:tc>
          <w:tcPr>
            <w:tcW w:w="92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8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65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9"/>
          <w:pgSz w:w="16880" w:h="11840"/>
          <w:pgMar w:top="704" w:right="605" w:bottom="964" w:left="600" w:header="0" w:footer="746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7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11"/>
        </w:rPr>
        <w:t>附件2</w:t>
      </w:r>
    </w:p>
    <w:p>
      <w:pPr>
        <w:spacing w:line="428" w:lineRule="auto"/>
        <w:rPr>
          <w:rFonts w:ascii="Arial"/>
          <w:sz w:val="21"/>
        </w:rPr>
      </w:pPr>
      <w:r/>
    </w:p>
    <w:p>
      <w:pPr>
        <w:ind w:left="4216"/>
        <w:spacing w:before="143" w:line="220" w:lineRule="auto"/>
        <w:rPr>
          <w:rFonts w:ascii="SimHei" w:hAnsi="SimHei" w:eastAsia="SimHei" w:cs="SimHei"/>
          <w:sz w:val="44"/>
          <w:szCs w:val="44"/>
        </w:rPr>
      </w:pPr>
      <w:r>
        <w:rPr>
          <w:rFonts w:ascii="SimHei" w:hAnsi="SimHei" w:eastAsia="SimHei" w:cs="SimHei"/>
          <w:sz w:val="44"/>
          <w:szCs w:val="44"/>
          <w:b/>
          <w:bCs/>
          <w:spacing w:val="6"/>
        </w:rPr>
        <w:t>公租房保障资金管理和发放情况调查表</w:t>
      </w:r>
    </w:p>
    <w:p>
      <w:pPr>
        <w:spacing w:line="143" w:lineRule="exact"/>
        <w:rPr/>
      </w:pPr>
      <w:r/>
    </w:p>
    <w:tbl>
      <w:tblPr>
        <w:tblStyle w:val="TableNormal"/>
        <w:tblW w:w="15749" w:type="dxa"/>
        <w:tblInd w:w="2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34"/>
        <w:gridCol w:w="1219"/>
        <w:gridCol w:w="1009"/>
        <w:gridCol w:w="979"/>
        <w:gridCol w:w="1170"/>
        <w:gridCol w:w="1039"/>
        <w:gridCol w:w="1609"/>
        <w:gridCol w:w="1679"/>
        <w:gridCol w:w="1079"/>
        <w:gridCol w:w="1459"/>
        <w:gridCol w:w="990"/>
        <w:gridCol w:w="1149"/>
        <w:gridCol w:w="1134"/>
      </w:tblGrid>
      <w:tr>
        <w:trPr>
          <w:trHeight w:val="1563" w:hRule="atLeast"/>
        </w:trPr>
        <w:tc>
          <w:tcPr>
            <w:tcW w:w="123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ind w:left="407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6"/>
              </w:rPr>
              <w:t>市州</w:t>
            </w:r>
          </w:p>
        </w:tc>
        <w:tc>
          <w:tcPr>
            <w:tcW w:w="12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0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290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县市区</w:t>
            </w:r>
          </w:p>
        </w:tc>
        <w:tc>
          <w:tcPr>
            <w:tcW w:w="4197" w:type="dxa"/>
            <w:vAlign w:val="top"/>
            <w:gridSpan w:val="4"/>
          </w:tcPr>
          <w:p>
            <w:pPr>
              <w:pStyle w:val="TableText"/>
              <w:spacing w:line="385" w:lineRule="auto"/>
              <w:rPr/>
            </w:pPr>
            <w:r/>
          </w:p>
          <w:p>
            <w:pPr>
              <w:spacing w:before="65" w:line="203" w:lineRule="auto"/>
              <w:jc w:val="righ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4"/>
              </w:rPr>
              <w:t>贪污侵占、套取骗取、截留挪用、虚报冒领、</w:t>
            </w:r>
          </w:p>
          <w:p>
            <w:pPr>
              <w:ind w:left="391"/>
              <w:spacing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优亲厚友、克扣私分租赁补贴资金情况</w:t>
            </w:r>
          </w:p>
          <w:p>
            <w:pPr>
              <w:ind w:left="1191"/>
              <w:spacing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(2023年起截止目前)</w:t>
            </w:r>
          </w:p>
        </w:tc>
        <w:tc>
          <w:tcPr>
            <w:tcW w:w="3288" w:type="dxa"/>
            <w:vAlign w:val="top"/>
            <w:gridSpan w:val="2"/>
          </w:tcPr>
          <w:p>
            <w:pPr>
              <w:pStyle w:val="TableText"/>
              <w:spacing w:line="285" w:lineRule="auto"/>
              <w:rPr/>
            </w:pPr>
            <w:r/>
          </w:p>
          <w:p>
            <w:pPr>
              <w:spacing w:before="65" w:line="21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“一卡通”要求是否落实，是否按规</w:t>
            </w:r>
          </w:p>
          <w:p>
            <w:pPr>
              <w:ind w:left="34"/>
              <w:spacing w:line="19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定途径发放补贴资金，是否依法依规</w:t>
            </w:r>
          </w:p>
          <w:p>
            <w:pPr>
              <w:ind w:left="1035"/>
              <w:spacing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公开补贴信息</w:t>
            </w:r>
          </w:p>
          <w:p>
            <w:pPr>
              <w:ind w:left="734"/>
              <w:spacing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(2023年起截止目前)</w:t>
            </w:r>
          </w:p>
        </w:tc>
        <w:tc>
          <w:tcPr>
            <w:tcW w:w="2538" w:type="dxa"/>
            <w:vAlign w:val="top"/>
            <w:gridSpan w:val="2"/>
          </w:tcPr>
          <w:p>
            <w:pPr>
              <w:pStyle w:val="TableText"/>
              <w:spacing w:line="385" w:lineRule="auto"/>
              <w:rPr/>
            </w:pPr>
            <w:r/>
          </w:p>
          <w:p>
            <w:pPr>
              <w:ind w:left="267"/>
              <w:spacing w:before="66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补贴资金发放是否及时</w:t>
            </w:r>
          </w:p>
          <w:p>
            <w:pPr>
              <w:ind w:left="466"/>
              <w:spacing w:before="2" w:line="19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是否按月或季发放</w:t>
            </w:r>
          </w:p>
          <w:p>
            <w:pPr>
              <w:ind w:left="366"/>
              <w:spacing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(2023年起截止目前)</w:t>
            </w:r>
          </w:p>
        </w:tc>
        <w:tc>
          <w:tcPr>
            <w:tcW w:w="3273" w:type="dxa"/>
            <w:vAlign w:val="top"/>
            <w:gridSpan w:val="3"/>
          </w:tcPr>
          <w:p>
            <w:pPr>
              <w:pStyle w:val="TableText"/>
              <w:spacing w:line="385" w:lineRule="auto"/>
              <w:rPr/>
            </w:pPr>
            <w:r/>
          </w:p>
          <w:p>
            <w:pPr>
              <w:ind w:left="528"/>
              <w:spacing w:before="66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发放金额不足，未按标准</w:t>
            </w:r>
          </w:p>
          <w:p>
            <w:pPr>
              <w:ind w:left="628"/>
              <w:spacing w:before="12" w:line="19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发放租赁补贴资金情况</w:t>
            </w:r>
          </w:p>
          <w:p>
            <w:pPr>
              <w:ind w:left="729"/>
              <w:spacing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(2023年起截止目前)</w:t>
            </w:r>
          </w:p>
        </w:tc>
      </w:tr>
      <w:tr>
        <w:trPr>
          <w:trHeight w:val="928" w:hRule="atLeast"/>
        </w:trPr>
        <w:tc>
          <w:tcPr>
            <w:tcW w:w="123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91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发生次数</w:t>
            </w:r>
          </w:p>
        </w:tc>
        <w:tc>
          <w:tcPr>
            <w:tcW w:w="979" w:type="dxa"/>
            <w:vAlign w:val="top"/>
          </w:tcPr>
          <w:p>
            <w:pPr>
              <w:ind w:left="281" w:right="58" w:hanging="199"/>
              <w:spacing w:before="242" w:line="21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涉及人员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数量</w:t>
            </w:r>
          </w:p>
        </w:tc>
        <w:tc>
          <w:tcPr>
            <w:tcW w:w="1170" w:type="dxa"/>
            <w:vAlign w:val="top"/>
          </w:tcPr>
          <w:p>
            <w:pPr>
              <w:ind w:left="173"/>
              <w:spacing w:before="132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涉及资金</w:t>
            </w:r>
          </w:p>
          <w:p>
            <w:pPr>
              <w:ind w:left="373"/>
              <w:spacing w:before="1" w:line="21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数额</w:t>
            </w:r>
          </w:p>
          <w:p>
            <w:pPr>
              <w:ind w:left="273"/>
              <w:spacing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(万元)</w:t>
            </w:r>
          </w:p>
        </w:tc>
        <w:tc>
          <w:tcPr>
            <w:tcW w:w="1039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103"/>
              <w:spacing w:before="65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处理情况</w:t>
            </w:r>
          </w:p>
        </w:tc>
        <w:tc>
          <w:tcPr>
            <w:tcW w:w="1609" w:type="dxa"/>
            <w:vAlign w:val="top"/>
          </w:tcPr>
          <w:p>
            <w:pPr>
              <w:ind w:left="364" w:right="93" w:hanging="270"/>
              <w:spacing w:before="240" w:line="20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是否落实“一卡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通”要求</w:t>
            </w:r>
          </w:p>
        </w:tc>
        <w:tc>
          <w:tcPr>
            <w:tcW w:w="1679" w:type="dxa"/>
            <w:vAlign w:val="top"/>
          </w:tcPr>
          <w:p>
            <w:pPr>
              <w:ind w:left="435"/>
              <w:spacing w:before="26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是否公开</w:t>
            </w:r>
          </w:p>
          <w:p>
            <w:pPr>
              <w:ind w:left="435"/>
              <w:spacing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补贴信息</w:t>
            </w:r>
          </w:p>
        </w:tc>
        <w:tc>
          <w:tcPr>
            <w:tcW w:w="1079" w:type="dxa"/>
            <w:vAlign w:val="top"/>
          </w:tcPr>
          <w:p>
            <w:pPr>
              <w:ind w:left="136" w:right="91"/>
              <w:spacing w:before="269" w:line="20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是否按月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或季发放</w:t>
            </w:r>
          </w:p>
        </w:tc>
        <w:tc>
          <w:tcPr>
            <w:tcW w:w="1459" w:type="dxa"/>
            <w:vAlign w:val="top"/>
          </w:tcPr>
          <w:p>
            <w:pPr>
              <w:ind w:left="127" w:right="80"/>
              <w:spacing w:before="269" w:line="20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计划落实按月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>或季发放时间</w:t>
            </w:r>
          </w:p>
        </w:tc>
        <w:tc>
          <w:tcPr>
            <w:tcW w:w="990" w:type="dxa"/>
            <w:vAlign w:val="top"/>
          </w:tcPr>
          <w:p>
            <w:pPr>
              <w:pStyle w:val="TableText"/>
              <w:spacing w:line="303" w:lineRule="auto"/>
              <w:rPr/>
            </w:pPr>
            <w:r/>
          </w:p>
          <w:p>
            <w:pPr>
              <w:ind w:left="118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发生批次</w:t>
            </w:r>
          </w:p>
        </w:tc>
        <w:tc>
          <w:tcPr>
            <w:tcW w:w="1149" w:type="dxa"/>
            <w:vAlign w:val="top"/>
          </w:tcPr>
          <w:p>
            <w:pPr>
              <w:ind w:left="198" w:right="147" w:hanging="30"/>
              <w:spacing w:before="239" w:line="21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涉及保障</w:t>
            </w: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对象数量</w:t>
            </w:r>
          </w:p>
        </w:tc>
        <w:tc>
          <w:tcPr>
            <w:tcW w:w="1134" w:type="dxa"/>
            <w:vAlign w:val="top"/>
          </w:tcPr>
          <w:p>
            <w:pPr>
              <w:ind w:left="159"/>
              <w:spacing w:before="240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涉及金额</w:t>
            </w:r>
          </w:p>
          <w:p>
            <w:pPr>
              <w:ind w:left="259"/>
              <w:spacing w:before="3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(万元)</w:t>
            </w:r>
          </w:p>
        </w:tc>
      </w:tr>
      <w:tr>
        <w:trPr>
          <w:trHeight w:val="54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4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0"/>
          <w:pgSz w:w="16890" w:h="11840"/>
          <w:pgMar w:top="700" w:right="525" w:bottom="908" w:left="589" w:header="0" w:footer="71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57" w:line="219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-15"/>
        </w:rPr>
        <w:t>附</w:t>
      </w:r>
      <w:r>
        <w:rPr>
          <w:rFonts w:ascii="SimSun" w:hAnsi="SimSun" w:eastAsia="SimSun" w:cs="SimSun"/>
          <w:sz w:val="29"/>
          <w:szCs w:val="29"/>
          <w:spacing w:val="-37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15"/>
        </w:rPr>
        <w:t>件</w:t>
      </w:r>
      <w:r>
        <w:rPr>
          <w:rFonts w:ascii="SimSun" w:hAnsi="SimSun" w:eastAsia="SimSun" w:cs="SimSun"/>
          <w:sz w:val="29"/>
          <w:szCs w:val="29"/>
          <w:spacing w:val="-30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-15"/>
        </w:rPr>
        <w:t>3</w:t>
      </w:r>
    </w:p>
    <w:p>
      <w:pPr>
        <w:spacing w:line="274" w:lineRule="auto"/>
        <w:rPr>
          <w:rFonts w:ascii="Arial"/>
          <w:sz w:val="21"/>
        </w:rPr>
      </w:pPr>
      <w:r/>
    </w:p>
    <w:p>
      <w:pPr>
        <w:ind w:left="6124"/>
        <w:spacing w:before="94" w:line="220" w:lineRule="auto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-5"/>
        </w:rPr>
        <w:t>公租房房源管理情况调查表</w:t>
      </w:r>
    </w:p>
    <w:p>
      <w:pPr>
        <w:spacing w:line="95" w:lineRule="exact"/>
        <w:rPr/>
      </w:pPr>
      <w:r/>
    </w:p>
    <w:tbl>
      <w:tblPr>
        <w:tblStyle w:val="TableNormal"/>
        <w:tblW w:w="15610" w:type="dxa"/>
        <w:tblInd w:w="4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5"/>
        <w:gridCol w:w="509"/>
        <w:gridCol w:w="340"/>
        <w:gridCol w:w="499"/>
        <w:gridCol w:w="500"/>
        <w:gridCol w:w="379"/>
        <w:gridCol w:w="420"/>
        <w:gridCol w:w="580"/>
        <w:gridCol w:w="499"/>
        <w:gridCol w:w="490"/>
        <w:gridCol w:w="380"/>
        <w:gridCol w:w="500"/>
        <w:gridCol w:w="499"/>
        <w:gridCol w:w="330"/>
        <w:gridCol w:w="370"/>
        <w:gridCol w:w="500"/>
        <w:gridCol w:w="510"/>
        <w:gridCol w:w="449"/>
        <w:gridCol w:w="340"/>
        <w:gridCol w:w="499"/>
        <w:gridCol w:w="500"/>
        <w:gridCol w:w="370"/>
        <w:gridCol w:w="380"/>
        <w:gridCol w:w="500"/>
        <w:gridCol w:w="500"/>
        <w:gridCol w:w="589"/>
        <w:gridCol w:w="400"/>
        <w:gridCol w:w="360"/>
        <w:gridCol w:w="489"/>
        <w:gridCol w:w="490"/>
        <w:gridCol w:w="480"/>
        <w:gridCol w:w="370"/>
        <w:gridCol w:w="500"/>
        <w:gridCol w:w="584"/>
      </w:tblGrid>
      <w:tr>
        <w:trPr>
          <w:trHeight w:val="703" w:hRule="atLeast"/>
        </w:trPr>
        <w:tc>
          <w:tcPr>
            <w:tcW w:w="50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81" w:lineRule="auto"/>
              <w:rPr/>
            </w:pPr>
            <w:r/>
          </w:p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115"/>
              <w:spacing w:before="43"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7"/>
              </w:rPr>
              <w:t>市州</w:t>
            </w:r>
          </w:p>
        </w:tc>
        <w:tc>
          <w:tcPr>
            <w:tcW w:w="50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82" w:lineRule="auto"/>
              <w:rPr/>
            </w:pPr>
            <w:r/>
          </w:p>
          <w:p>
            <w:pPr>
              <w:pStyle w:val="TableText"/>
              <w:spacing w:line="282" w:lineRule="auto"/>
              <w:rPr/>
            </w:pPr>
            <w:r/>
          </w:p>
          <w:p>
            <w:pPr>
              <w:ind w:left="40"/>
              <w:spacing w:before="42"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县市区</w:t>
            </w:r>
          </w:p>
        </w:tc>
        <w:tc>
          <w:tcPr>
            <w:tcW w:w="1718" w:type="dxa"/>
            <w:vAlign w:val="top"/>
            <w:gridSpan w:val="4"/>
          </w:tcPr>
          <w:p>
            <w:pPr>
              <w:ind w:left="131"/>
              <w:spacing w:before="150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转借、转租或者擅自调换</w:t>
            </w:r>
          </w:p>
          <w:p>
            <w:pPr>
              <w:ind w:left="331"/>
              <w:spacing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所承租公租房情况</w:t>
            </w:r>
          </w:p>
          <w:p>
            <w:pPr>
              <w:ind w:left="261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1989" w:type="dxa"/>
            <w:vAlign w:val="top"/>
            <w:gridSpan w:val="4"/>
          </w:tcPr>
          <w:p>
            <w:pPr>
              <w:ind w:left="13"/>
              <w:spacing w:before="139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改变所承租公租房用途，将公租房</w:t>
            </w:r>
          </w:p>
          <w:p>
            <w:pPr>
              <w:ind w:left="203"/>
              <w:spacing w:line="213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用于生产、经营等用途情况</w:t>
            </w:r>
          </w:p>
          <w:p>
            <w:pPr>
              <w:ind w:left="393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1709" w:type="dxa"/>
            <w:vAlign w:val="top"/>
            <w:gridSpan w:val="4"/>
          </w:tcPr>
          <w:p>
            <w:pPr>
              <w:ind w:left="264" w:right="236" w:firstLine="59"/>
              <w:spacing w:before="129" w:line="220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破坏或者擅自装修  </w:t>
            </w:r>
            <w:r>
              <w:rPr>
                <w:rFonts w:ascii="SimSun" w:hAnsi="SimSun" w:eastAsia="SimSun" w:cs="SimSun"/>
                <w:sz w:val="13"/>
                <w:szCs w:val="13"/>
                <w:spacing w:val="4"/>
              </w:rPr>
              <w:t>所承租公租房情况  </w:t>
            </w: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1829" w:type="dxa"/>
            <w:vAlign w:val="top"/>
            <w:gridSpan w:val="4"/>
          </w:tcPr>
          <w:p>
            <w:pPr>
              <w:ind w:left="65"/>
              <w:spacing w:before="200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在公租房内从事违法活动情况</w:t>
            </w:r>
          </w:p>
          <w:p>
            <w:pPr>
              <w:ind w:left="325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1709" w:type="dxa"/>
            <w:vAlign w:val="top"/>
            <w:gridSpan w:val="4"/>
          </w:tcPr>
          <w:p>
            <w:pPr>
              <w:ind w:left="96"/>
              <w:spacing w:before="150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无正当理由连续6个月以上</w:t>
            </w:r>
          </w:p>
          <w:p>
            <w:pPr>
              <w:ind w:left="396"/>
              <w:spacing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闲置公租房情况</w:t>
            </w:r>
          </w:p>
          <w:p>
            <w:pPr>
              <w:ind w:left="266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2369" w:type="dxa"/>
            <w:vAlign w:val="top"/>
            <w:gridSpan w:val="5"/>
          </w:tcPr>
          <w:p>
            <w:pPr>
              <w:ind w:left="167"/>
              <w:spacing w:before="150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4"/>
              </w:rPr>
              <w:t>累计6个月以上拖欠租金的或调整、</w:t>
            </w:r>
          </w:p>
          <w:p>
            <w:pPr>
              <w:ind w:left="337"/>
              <w:spacing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揭高租金标准后拒不执行情况</w:t>
            </w:r>
          </w:p>
          <w:p>
            <w:pPr>
              <w:ind w:left="597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1819" w:type="dxa"/>
            <w:vAlign w:val="top"/>
            <w:gridSpan w:val="4"/>
          </w:tcPr>
          <w:p>
            <w:pPr>
              <w:ind w:left="188"/>
              <w:spacing w:before="120" w:line="214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公租房租赁期满后未申请</w:t>
            </w:r>
          </w:p>
          <w:p>
            <w:pPr>
              <w:ind w:left="128"/>
              <w:spacing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续租，超期居住公租房情况</w:t>
            </w:r>
          </w:p>
          <w:p>
            <w:pPr>
              <w:ind w:left="318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  <w:tc>
          <w:tcPr>
            <w:tcW w:w="1454" w:type="dxa"/>
            <w:vAlign w:val="top"/>
            <w:gridSpan w:val="3"/>
          </w:tcPr>
          <w:p>
            <w:pPr>
              <w:ind w:left="69"/>
              <w:spacing w:before="80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公租房小区物业管理不</w:t>
            </w:r>
          </w:p>
          <w:p>
            <w:pPr>
              <w:ind w:right="1"/>
              <w:spacing w:line="199" w:lineRule="auto"/>
              <w:jc w:val="right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1"/>
              </w:rPr>
              <w:t>力，对住户诉求解决不及</w:t>
            </w:r>
          </w:p>
          <w:p>
            <w:pPr>
              <w:ind w:left="529"/>
              <w:spacing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时情况</w:t>
            </w:r>
          </w:p>
          <w:p>
            <w:pPr>
              <w:ind w:left="139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2"/>
              </w:rPr>
              <w:t>(2023年起截止目前)</w:t>
            </w:r>
          </w:p>
        </w:tc>
      </w:tr>
      <w:tr>
        <w:trPr>
          <w:trHeight w:val="639" w:hRule="atLeast"/>
        </w:trPr>
        <w:tc>
          <w:tcPr>
            <w:tcW w:w="505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ind w:left="11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轰</w:t>
            </w:r>
          </w:p>
        </w:tc>
        <w:tc>
          <w:tcPr>
            <w:tcW w:w="499" w:type="dxa"/>
            <w:vAlign w:val="top"/>
          </w:tcPr>
          <w:p>
            <w:pPr>
              <w:ind w:left="41" w:right="62"/>
              <w:spacing w:before="157" w:line="20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涉及房</w:t>
            </w:r>
            <w:r>
              <w:rPr>
                <w:rFonts w:ascii="SimSun" w:hAnsi="SimSun" w:eastAsia="SimSun" w:cs="SimSun"/>
                <w:sz w:val="13"/>
                <w:szCs w:val="1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源套数</w:t>
            </w:r>
          </w:p>
        </w:tc>
        <w:tc>
          <w:tcPr>
            <w:tcW w:w="500" w:type="dxa"/>
            <w:vAlign w:val="top"/>
          </w:tcPr>
          <w:p>
            <w:pPr>
              <w:ind w:left="42" w:right="4" w:firstLine="79"/>
              <w:spacing w:before="76" w:line="227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1"/>
                <w:szCs w:val="11"/>
                <w:spacing w:val="11"/>
              </w:rPr>
              <w:t>涉及保</w:t>
            </w:r>
            <w:r>
              <w:rPr>
                <w:rFonts w:ascii="SimSun" w:hAnsi="SimSun" w:eastAsia="SimSun" w:cs="SimSun"/>
                <w:sz w:val="11"/>
                <w:szCs w:val="11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障对象</w:t>
            </w:r>
          </w:p>
          <w:p>
            <w:pPr>
              <w:ind w:left="112"/>
              <w:spacing w:before="25"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数量</w:t>
            </w:r>
          </w:p>
        </w:tc>
        <w:tc>
          <w:tcPr>
            <w:tcW w:w="379" w:type="dxa"/>
            <w:vAlign w:val="top"/>
          </w:tcPr>
          <w:p>
            <w:pPr>
              <w:ind w:left="12"/>
              <w:spacing w:before="193" w:line="220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震</w:t>
            </w:r>
          </w:p>
        </w:tc>
        <w:tc>
          <w:tcPr>
            <w:tcW w:w="420" w:type="dxa"/>
            <w:vAlign w:val="top"/>
          </w:tcPr>
          <w:p>
            <w:pPr>
              <w:ind w:left="43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轰</w:t>
            </w:r>
          </w:p>
        </w:tc>
        <w:tc>
          <w:tcPr>
            <w:tcW w:w="580" w:type="dxa"/>
            <w:vAlign w:val="top"/>
          </w:tcPr>
          <w:p>
            <w:pPr>
              <w:ind w:left="153" w:right="33" w:hanging="130"/>
              <w:spacing w:before="177" w:line="20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涉及房源</w:t>
            </w:r>
            <w:r>
              <w:rPr>
                <w:rFonts w:ascii="SimSun" w:hAnsi="SimSun" w:eastAsia="SimSun" w:cs="SimSun"/>
                <w:sz w:val="13"/>
                <w:szCs w:val="13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套数</w:t>
            </w:r>
          </w:p>
        </w:tc>
        <w:tc>
          <w:tcPr>
            <w:tcW w:w="499" w:type="dxa"/>
            <w:vAlign w:val="top"/>
          </w:tcPr>
          <w:p>
            <w:pPr>
              <w:spacing w:before="91" w:line="219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35"/>
              </w:rPr>
              <w:t>登</w:t>
            </w:r>
            <w:r>
              <w:rPr>
                <w:rFonts w:ascii="SimSun" w:hAnsi="SimSun" w:eastAsia="SimSun" w:cs="SimSun"/>
                <w:sz w:val="26"/>
                <w:szCs w:val="26"/>
                <w:spacing w:val="-11"/>
              </w:rPr>
              <w:t>祭</w:t>
            </w:r>
          </w:p>
          <w:p>
            <w:pPr>
              <w:ind w:left="113"/>
              <w:spacing w:before="7"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数量</w:t>
            </w:r>
          </w:p>
        </w:tc>
        <w:tc>
          <w:tcPr>
            <w:tcW w:w="490" w:type="dxa"/>
            <w:vAlign w:val="top"/>
          </w:tcPr>
          <w:p>
            <w:pPr>
              <w:ind w:left="104"/>
              <w:spacing w:before="200" w:line="195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处理</w:t>
            </w:r>
          </w:p>
          <w:p>
            <w:pPr>
              <w:ind w:left="104"/>
              <w:spacing w:line="220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情况</w:t>
            </w:r>
          </w:p>
        </w:tc>
        <w:tc>
          <w:tcPr>
            <w:tcW w:w="380" w:type="dxa"/>
            <w:vAlign w:val="top"/>
          </w:tcPr>
          <w:p>
            <w:pPr>
              <w:ind w:left="34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轰</w:t>
            </w:r>
          </w:p>
        </w:tc>
        <w:tc>
          <w:tcPr>
            <w:tcW w:w="500" w:type="dxa"/>
            <w:vAlign w:val="top"/>
          </w:tcPr>
          <w:p>
            <w:pPr>
              <w:ind w:left="44" w:right="22" w:firstLine="39"/>
              <w:spacing w:before="187" w:line="216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涉及房</w:t>
            </w:r>
            <w:r>
              <w:rPr>
                <w:rFonts w:ascii="SimSun" w:hAnsi="SimSun" w:eastAsia="SimSun" w:cs="SimSun"/>
                <w:sz w:val="13"/>
                <w:szCs w:val="1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源套数</w:t>
            </w:r>
          </w:p>
        </w:tc>
        <w:tc>
          <w:tcPr>
            <w:tcW w:w="499" w:type="dxa"/>
            <w:vAlign w:val="top"/>
          </w:tcPr>
          <w:p>
            <w:pPr>
              <w:ind w:left="44"/>
              <w:spacing w:before="98" w:line="221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酱登袋</w:t>
            </w:r>
          </w:p>
          <w:p>
            <w:pPr>
              <w:ind w:left="114"/>
              <w:spacing w:before="163"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数量</w:t>
            </w:r>
          </w:p>
        </w:tc>
        <w:tc>
          <w:tcPr>
            <w:tcW w:w="330" w:type="dxa"/>
            <w:vAlign w:val="top"/>
          </w:tcPr>
          <w:p>
            <w:pPr>
              <w:ind w:left="15"/>
              <w:spacing w:before="193" w:line="220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答</w:t>
            </w:r>
          </w:p>
        </w:tc>
        <w:tc>
          <w:tcPr>
            <w:tcW w:w="370" w:type="dxa"/>
            <w:vAlign w:val="top"/>
          </w:tcPr>
          <w:p>
            <w:pPr>
              <w:ind w:left="45" w:right="62"/>
              <w:spacing w:before="207" w:line="20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4"/>
              </w:rPr>
              <w:t>发生</w:t>
            </w:r>
            <w:r>
              <w:rPr>
                <w:rFonts w:ascii="SimSun" w:hAnsi="SimSun" w:eastAsia="SimSun" w:cs="SimSun"/>
                <w:sz w:val="13"/>
                <w:szCs w:val="13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5"/>
              </w:rPr>
              <w:t>次数</w:t>
            </w:r>
          </w:p>
        </w:tc>
        <w:tc>
          <w:tcPr>
            <w:tcW w:w="500" w:type="dxa"/>
            <w:vAlign w:val="top"/>
          </w:tcPr>
          <w:p>
            <w:pPr>
              <w:ind w:left="15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数</w:t>
            </w:r>
          </w:p>
        </w:tc>
        <w:tc>
          <w:tcPr>
            <w:tcW w:w="510" w:type="dxa"/>
            <w:vAlign w:val="top"/>
          </w:tcPr>
          <w:p>
            <w:pPr>
              <w:ind w:left="115"/>
              <w:spacing w:before="101" w:line="224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餐</w:t>
            </w:r>
          </w:p>
          <w:p>
            <w:pPr>
              <w:ind w:left="115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数量</w:t>
            </w:r>
          </w:p>
        </w:tc>
        <w:tc>
          <w:tcPr>
            <w:tcW w:w="449" w:type="dxa"/>
            <w:vAlign w:val="top"/>
            <w:textDirection w:val="tbRlV"/>
          </w:tcPr>
          <w:p>
            <w:pPr>
              <w:ind w:left="158"/>
              <w:spacing w:before="73" w:line="221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理况</w:t>
            </w:r>
          </w:p>
          <w:p>
            <w:pPr>
              <w:ind w:left="162"/>
              <w:spacing w:line="216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处情</w:t>
            </w:r>
          </w:p>
        </w:tc>
        <w:tc>
          <w:tcPr>
            <w:tcW w:w="340" w:type="dxa"/>
            <w:vAlign w:val="top"/>
          </w:tcPr>
          <w:p>
            <w:pPr>
              <w:ind w:left="16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轰</w:t>
            </w:r>
          </w:p>
        </w:tc>
        <w:tc>
          <w:tcPr>
            <w:tcW w:w="499" w:type="dxa"/>
            <w:vAlign w:val="top"/>
          </w:tcPr>
          <w:p>
            <w:pPr>
              <w:ind w:left="36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数</w:t>
            </w:r>
          </w:p>
        </w:tc>
        <w:tc>
          <w:tcPr>
            <w:tcW w:w="500" w:type="dxa"/>
            <w:vAlign w:val="top"/>
          </w:tcPr>
          <w:p>
            <w:pPr>
              <w:ind w:left="147" w:right="89" w:hanging="110"/>
              <w:spacing w:before="81" w:line="232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13"/>
              </w:rPr>
              <w:t>餐</w:t>
            </w:r>
            <w:r>
              <w:rPr>
                <w:rFonts w:ascii="SimSun" w:hAnsi="SimSun" w:eastAsia="SimSun" w:cs="SimSun"/>
                <w:sz w:val="26"/>
                <w:szCs w:val="26"/>
              </w:rPr>
              <w:t xml:space="preserve">  </w:t>
            </w:r>
            <w:r>
              <w:rPr>
                <w:rFonts w:ascii="SimSun" w:hAnsi="SimSun" w:eastAsia="SimSun" w:cs="SimSun"/>
                <w:sz w:val="13"/>
                <w:szCs w:val="13"/>
                <w:spacing w:val="-4"/>
              </w:rPr>
              <w:t>数量</w:t>
            </w:r>
          </w:p>
        </w:tc>
        <w:tc>
          <w:tcPr>
            <w:tcW w:w="370" w:type="dxa"/>
            <w:vAlign w:val="top"/>
          </w:tcPr>
          <w:p>
            <w:pPr>
              <w:ind w:left="17"/>
              <w:spacing w:before="194" w:line="221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裂</w:t>
            </w:r>
          </w:p>
        </w:tc>
        <w:tc>
          <w:tcPr>
            <w:tcW w:w="380" w:type="dxa"/>
            <w:vAlign w:val="top"/>
          </w:tcPr>
          <w:p>
            <w:pPr>
              <w:ind w:left="57" w:right="60"/>
              <w:spacing w:before="187" w:line="223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4"/>
              </w:rPr>
              <w:t>发生</w:t>
            </w:r>
            <w:r>
              <w:rPr>
                <w:rFonts w:ascii="SimSun" w:hAnsi="SimSun" w:eastAsia="SimSun" w:cs="SimSun"/>
                <w:sz w:val="13"/>
                <w:szCs w:val="13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5"/>
              </w:rPr>
              <w:t>次数</w:t>
            </w:r>
          </w:p>
        </w:tc>
        <w:tc>
          <w:tcPr>
            <w:tcW w:w="500" w:type="dxa"/>
            <w:vAlign w:val="top"/>
          </w:tcPr>
          <w:p>
            <w:pPr>
              <w:ind w:left="17" w:right="19" w:firstLine="69"/>
              <w:spacing w:before="137" w:line="20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涉及房</w:t>
            </w:r>
            <w:r>
              <w:rPr>
                <w:rFonts w:ascii="SimSun" w:hAnsi="SimSun" w:eastAsia="SimSun" w:cs="SimSun"/>
                <w:sz w:val="13"/>
                <w:szCs w:val="1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数套数</w:t>
            </w:r>
          </w:p>
        </w:tc>
        <w:tc>
          <w:tcPr>
            <w:tcW w:w="500" w:type="dxa"/>
            <w:vAlign w:val="top"/>
          </w:tcPr>
          <w:p>
            <w:pPr>
              <w:ind w:left="47"/>
              <w:spacing w:before="117"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涉及保</w:t>
            </w:r>
          </w:p>
          <w:p>
            <w:pPr>
              <w:ind w:left="47"/>
              <w:spacing w:line="198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障对蒙</w:t>
            </w:r>
          </w:p>
          <w:p>
            <w:pPr>
              <w:ind w:left="117"/>
              <w:spacing w:line="21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数量</w:t>
            </w:r>
          </w:p>
        </w:tc>
        <w:tc>
          <w:tcPr>
            <w:tcW w:w="589" w:type="dxa"/>
            <w:vAlign w:val="top"/>
          </w:tcPr>
          <w:p>
            <w:pPr>
              <w:ind w:left="27"/>
              <w:spacing w:before="177" w:line="199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2"/>
              </w:rPr>
              <w:t>涉及金额</w:t>
            </w:r>
          </w:p>
          <w:p>
            <w:pPr>
              <w:ind w:left="97"/>
              <w:spacing w:line="220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7"/>
              </w:rPr>
              <w:t>(万元)</w:t>
            </w:r>
          </w:p>
        </w:tc>
        <w:tc>
          <w:tcPr>
            <w:tcW w:w="400" w:type="dxa"/>
            <w:vAlign w:val="top"/>
          </w:tcPr>
          <w:p>
            <w:pPr>
              <w:ind w:left="38"/>
              <w:spacing w:before="193" w:line="220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震</w:t>
            </w:r>
          </w:p>
        </w:tc>
        <w:tc>
          <w:tcPr>
            <w:tcW w:w="360" w:type="dxa"/>
            <w:vAlign w:val="top"/>
          </w:tcPr>
          <w:p>
            <w:pPr>
              <w:ind w:left="28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轰</w:t>
            </w:r>
          </w:p>
        </w:tc>
        <w:tc>
          <w:tcPr>
            <w:tcW w:w="489" w:type="dxa"/>
            <w:vAlign w:val="top"/>
          </w:tcPr>
          <w:p>
            <w:pPr>
              <w:spacing w:before="192" w:line="219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32"/>
                <w:w w:val="93"/>
              </w:rPr>
              <w:t>强</w:t>
            </w:r>
            <w:r>
              <w:rPr>
                <w:rFonts w:ascii="SimSun" w:hAnsi="SimSun" w:eastAsia="SimSun" w:cs="SimSun"/>
                <w:sz w:val="26"/>
                <w:szCs w:val="26"/>
                <w:spacing w:val="-12"/>
                <w:w w:val="93"/>
              </w:rPr>
              <w:t>数</w:t>
            </w:r>
          </w:p>
        </w:tc>
        <w:tc>
          <w:tcPr>
            <w:tcW w:w="490" w:type="dxa"/>
            <w:vAlign w:val="top"/>
          </w:tcPr>
          <w:p>
            <w:pPr>
              <w:ind w:left="49" w:right="47"/>
              <w:spacing w:before="87" w:line="215" w:lineRule="auto"/>
              <w:jc w:val="both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spacing w:val="-3"/>
              </w:rPr>
              <w:t>涉及保</w:t>
            </w:r>
            <w:r>
              <w:rPr>
                <w:rFonts w:ascii="SimSun" w:hAnsi="SimSun" w:eastAsia="SimSun" w:cs="SimSun"/>
                <w:sz w:val="13"/>
                <w:szCs w:val="13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-4"/>
              </w:rPr>
              <w:t>障对象</w:t>
            </w:r>
            <w:r>
              <w:rPr>
                <w:rFonts w:ascii="SimSun" w:hAnsi="SimSun" w:eastAsia="SimSun" w:cs="SimSun"/>
                <w:sz w:val="13"/>
                <w:szCs w:val="13"/>
              </w:rPr>
              <w:t xml:space="preserve"> </w:t>
            </w:r>
            <w:r>
              <w:rPr>
                <w:rFonts w:ascii="SimSun" w:hAnsi="SimSun" w:eastAsia="SimSun" w:cs="SimSun"/>
                <w:sz w:val="13"/>
                <w:szCs w:val="13"/>
                <w:spacing w:val="26"/>
              </w:rPr>
              <w:t>数量</w:t>
            </w:r>
          </w:p>
        </w:tc>
        <w:tc>
          <w:tcPr>
            <w:tcW w:w="480" w:type="dxa"/>
            <w:vAlign w:val="top"/>
            <w:textDirection w:val="tbRlV"/>
          </w:tcPr>
          <w:p>
            <w:pPr>
              <w:ind w:left="158"/>
              <w:spacing w:before="90" w:line="207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理况</w:t>
            </w:r>
          </w:p>
          <w:p>
            <w:pPr>
              <w:ind w:left="162"/>
              <w:spacing w:line="216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处情</w:t>
            </w:r>
          </w:p>
        </w:tc>
        <w:tc>
          <w:tcPr>
            <w:tcW w:w="370" w:type="dxa"/>
            <w:vAlign w:val="top"/>
          </w:tcPr>
          <w:p>
            <w:pPr>
              <w:ind w:left="39"/>
              <w:spacing w:before="192" w:line="219" w:lineRule="auto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</w:rPr>
              <w:t>轰</w:t>
            </w:r>
          </w:p>
        </w:tc>
        <w:tc>
          <w:tcPr>
            <w:tcW w:w="500" w:type="dxa"/>
            <w:vAlign w:val="top"/>
          </w:tcPr>
          <w:p>
            <w:pPr>
              <w:spacing w:before="92" w:line="223" w:lineRule="auto"/>
              <w:jc w:val="right"/>
              <w:rPr>
                <w:rFonts w:ascii="SimSun" w:hAnsi="SimSun" w:eastAsia="SimSun" w:cs="SimSun"/>
                <w:sz w:val="26"/>
                <w:szCs w:val="26"/>
              </w:rPr>
            </w:pPr>
            <w:r>
              <w:rPr>
                <w:rFonts w:ascii="SimSun" w:hAnsi="SimSun" w:eastAsia="SimSun" w:cs="SimSun"/>
                <w:sz w:val="26"/>
                <w:szCs w:val="26"/>
                <w:spacing w:val="-28"/>
                <w:w w:val="97"/>
              </w:rPr>
              <w:t>整</w:t>
            </w:r>
            <w:r>
              <w:rPr>
                <w:rFonts w:ascii="SimSun" w:hAnsi="SimSun" w:eastAsia="SimSun" w:cs="SimSun"/>
                <w:sz w:val="26"/>
                <w:szCs w:val="26"/>
                <w:spacing w:val="-10"/>
                <w:w w:val="97"/>
              </w:rPr>
              <w:t>篮</w:t>
            </w:r>
          </w:p>
          <w:p>
            <w:pPr>
              <w:ind w:left="120"/>
              <w:spacing w:line="221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  <w:b/>
                <w:bCs/>
                <w:spacing w:val="-4"/>
              </w:rPr>
              <w:t>名称</w:t>
            </w:r>
          </w:p>
        </w:tc>
        <w:tc>
          <w:tcPr>
            <w:tcW w:w="584" w:type="dxa"/>
            <w:vAlign w:val="top"/>
            <w:textDirection w:val="tbRlV"/>
          </w:tcPr>
          <w:p>
            <w:pPr>
              <w:ind w:left="178"/>
              <w:spacing w:before="124" w:line="235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理况</w:t>
            </w:r>
          </w:p>
          <w:p>
            <w:pPr>
              <w:ind w:left="162"/>
              <w:spacing w:line="216" w:lineRule="auto"/>
              <w:rPr>
                <w:rFonts w:ascii="SimSun" w:hAnsi="SimSun" w:eastAsia="SimSun" w:cs="SimSun"/>
                <w:sz w:val="13"/>
                <w:szCs w:val="13"/>
              </w:rPr>
            </w:pPr>
            <w:r>
              <w:rPr>
                <w:rFonts w:ascii="SimSun" w:hAnsi="SimSun" w:eastAsia="SimSun" w:cs="SimSun"/>
                <w:sz w:val="13"/>
                <w:szCs w:val="13"/>
              </w:rPr>
              <w:t>处情</w:t>
            </w:r>
          </w:p>
        </w:tc>
      </w:tr>
      <w:tr>
        <w:trPr>
          <w:trHeight w:val="349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9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9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59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9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9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344" w:hRule="atLeast"/>
        </w:trPr>
        <w:tc>
          <w:tcPr>
            <w:tcW w:w="50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2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3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1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4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9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4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3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0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58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1"/>
          <w:pgSz w:w="16800" w:h="11830"/>
          <w:pgMar w:top="772" w:right="565" w:bottom="900" w:left="570" w:header="0" w:footer="701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47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3"/>
        </w:rPr>
        <w:t>附</w:t>
      </w:r>
      <w:r>
        <w:rPr>
          <w:rFonts w:ascii="SimSun" w:hAnsi="SimSun" w:eastAsia="SimSun" w:cs="SimSun"/>
          <w:sz w:val="24"/>
          <w:szCs w:val="24"/>
          <w:spacing w:val="-52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3"/>
        </w:rPr>
        <w:t>件</w:t>
      </w:r>
      <w:r>
        <w:rPr>
          <w:rFonts w:ascii="SimSun" w:hAnsi="SimSun" w:eastAsia="SimSun" w:cs="SimSun"/>
          <w:sz w:val="24"/>
          <w:szCs w:val="24"/>
          <w:spacing w:val="-54"/>
        </w:rPr>
        <w:t xml:space="preserve"> </w:t>
      </w:r>
      <w:r>
        <w:rPr>
          <w:rFonts w:ascii="SimSun" w:hAnsi="SimSun" w:eastAsia="SimSun" w:cs="SimSun"/>
          <w:sz w:val="24"/>
          <w:szCs w:val="24"/>
          <w:spacing w:val="-13"/>
        </w:rPr>
        <w:t>4</w:t>
      </w:r>
    </w:p>
    <w:p>
      <w:pPr>
        <w:spacing w:line="403" w:lineRule="auto"/>
        <w:rPr>
          <w:rFonts w:ascii="Arial"/>
          <w:sz w:val="21"/>
        </w:rPr>
      </w:pPr>
      <w:r/>
    </w:p>
    <w:p>
      <w:pPr>
        <w:ind w:left="4725"/>
        <w:spacing w:before="127" w:line="220" w:lineRule="auto"/>
        <w:rPr>
          <w:rFonts w:ascii="SimHei" w:hAnsi="SimHei" w:eastAsia="SimHei" w:cs="SimHei"/>
          <w:sz w:val="39"/>
          <w:szCs w:val="39"/>
        </w:rPr>
      </w:pPr>
      <w:r>
        <w:rPr>
          <w:rFonts w:ascii="SimHei" w:hAnsi="SimHei" w:eastAsia="SimHei" w:cs="SimHei"/>
          <w:sz w:val="39"/>
          <w:szCs w:val="39"/>
          <w:b/>
          <w:bCs/>
          <w:spacing w:val="-4"/>
        </w:rPr>
        <w:t>公租房保障对象准入退出情况调查表</w:t>
      </w:r>
    </w:p>
    <w:p>
      <w:pPr>
        <w:spacing w:line="94" w:lineRule="exact"/>
        <w:rPr/>
      </w:pPr>
      <w:r/>
    </w:p>
    <w:tbl>
      <w:tblPr>
        <w:tblStyle w:val="TableNormal"/>
        <w:tblW w:w="15620" w:type="dxa"/>
        <w:tblInd w:w="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064"/>
        <w:gridCol w:w="1060"/>
        <w:gridCol w:w="1070"/>
        <w:gridCol w:w="780"/>
        <w:gridCol w:w="1359"/>
        <w:gridCol w:w="1059"/>
        <w:gridCol w:w="1209"/>
        <w:gridCol w:w="1229"/>
        <w:gridCol w:w="1209"/>
        <w:gridCol w:w="1379"/>
        <w:gridCol w:w="1339"/>
        <w:gridCol w:w="1319"/>
        <w:gridCol w:w="1544"/>
      </w:tblGrid>
      <w:tr>
        <w:trPr>
          <w:trHeight w:val="733" w:hRule="atLeast"/>
        </w:trPr>
        <w:tc>
          <w:tcPr>
            <w:tcW w:w="106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347"/>
              <w:spacing w:before="55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b/>
                <w:bCs/>
                <w:spacing w:val="5"/>
              </w:rPr>
              <w:t>市州</w:t>
            </w:r>
          </w:p>
        </w:tc>
        <w:tc>
          <w:tcPr>
            <w:tcW w:w="106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1" w:lineRule="auto"/>
              <w:rPr/>
            </w:pPr>
            <w:r/>
          </w:p>
          <w:p>
            <w:pPr>
              <w:pStyle w:val="TableText"/>
              <w:spacing w:line="292" w:lineRule="auto"/>
              <w:rPr/>
            </w:pPr>
            <w:r/>
          </w:p>
          <w:p>
            <w:pPr>
              <w:ind w:left="251"/>
              <w:spacing w:before="55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>县市区</w:t>
            </w:r>
          </w:p>
        </w:tc>
        <w:tc>
          <w:tcPr>
            <w:tcW w:w="107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101"/>
              <w:spacing w:before="56" w:line="206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是否实行保</w:t>
            </w:r>
          </w:p>
          <w:p>
            <w:pPr>
              <w:ind w:left="81"/>
              <w:spacing w:line="19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障对象准入</w:t>
            </w:r>
          </w:p>
          <w:p>
            <w:pPr>
              <w:ind w:left="101"/>
              <w:spacing w:line="21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和退出年审</w:t>
            </w:r>
          </w:p>
          <w:p>
            <w:pPr>
              <w:ind w:left="351"/>
              <w:spacing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制度</w:t>
            </w:r>
          </w:p>
        </w:tc>
        <w:tc>
          <w:tcPr>
            <w:tcW w:w="2139" w:type="dxa"/>
            <w:vAlign w:val="top"/>
            <w:gridSpan w:val="2"/>
          </w:tcPr>
          <w:p>
            <w:pPr>
              <w:ind w:left="210" w:right="57" w:hanging="170"/>
              <w:spacing w:before="181" w:line="213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是否将公租房房源、分配情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况和保障对象进行公示</w:t>
            </w:r>
          </w:p>
        </w:tc>
        <w:tc>
          <w:tcPr>
            <w:tcW w:w="105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7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261" w:right="116" w:hanging="169"/>
              <w:spacing w:before="55" w:line="207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是否实行轮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候制度</w:t>
            </w:r>
          </w:p>
        </w:tc>
        <w:tc>
          <w:tcPr>
            <w:tcW w:w="6365" w:type="dxa"/>
            <w:vAlign w:val="top"/>
            <w:gridSpan w:val="5"/>
          </w:tcPr>
          <w:p>
            <w:pPr>
              <w:ind w:left="1882"/>
              <w:spacing w:before="282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五类保障对象收入、财产规定标准</w:t>
            </w:r>
          </w:p>
        </w:tc>
        <w:tc>
          <w:tcPr>
            <w:tcW w:w="131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464" w:lineRule="auto"/>
              <w:rPr/>
            </w:pPr>
            <w:r/>
          </w:p>
          <w:p>
            <w:pPr>
              <w:ind w:left="58"/>
              <w:spacing w:before="55" w:line="19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新就业无房职工</w:t>
            </w:r>
          </w:p>
          <w:p>
            <w:pPr>
              <w:ind w:left="147"/>
              <w:spacing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保障年限规定</w:t>
            </w:r>
          </w:p>
        </w:tc>
        <w:tc>
          <w:tcPr>
            <w:tcW w:w="154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95" w:lineRule="auto"/>
              <w:rPr/>
            </w:pPr>
            <w:r/>
          </w:p>
          <w:p>
            <w:pPr>
              <w:ind w:left="89" w:right="92"/>
              <w:spacing w:before="55" w:line="203" w:lineRule="auto"/>
              <w:jc w:val="both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稳定就业外来务工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人员申请公租房缴</w:t>
            </w:r>
            <w:r>
              <w:rPr>
                <w:rFonts w:ascii="SimSun" w:hAnsi="SimSun" w:eastAsia="SimSun" w:cs="SimSun"/>
                <w:sz w:val="17"/>
                <w:szCs w:val="17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0"/>
              </w:rPr>
              <w:t>纳社保年限规定</w:t>
            </w:r>
          </w:p>
        </w:tc>
      </w:tr>
      <w:tr>
        <w:trPr>
          <w:trHeight w:val="708" w:hRule="atLeast"/>
        </w:trPr>
        <w:tc>
          <w:tcPr>
            <w:tcW w:w="106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ind w:left="20"/>
              <w:spacing w:before="26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是否公示</w:t>
            </w:r>
          </w:p>
        </w:tc>
        <w:tc>
          <w:tcPr>
            <w:tcW w:w="1359" w:type="dxa"/>
            <w:vAlign w:val="top"/>
          </w:tcPr>
          <w:p>
            <w:pPr>
              <w:ind w:left="61"/>
              <w:spacing w:before="26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2"/>
              </w:rPr>
              <w:t>公示方式及范围</w:t>
            </w:r>
          </w:p>
        </w:tc>
        <w:tc>
          <w:tcPr>
            <w:tcW w:w="105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ind w:left="252" w:right="102" w:hanging="169"/>
              <w:spacing w:before="168"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城镇低保住房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1"/>
              </w:rPr>
              <w:t>困难家庭</w:t>
            </w:r>
          </w:p>
        </w:tc>
        <w:tc>
          <w:tcPr>
            <w:tcW w:w="1229" w:type="dxa"/>
            <w:vAlign w:val="top"/>
          </w:tcPr>
          <w:p>
            <w:pPr>
              <w:ind w:left="173" w:right="111" w:hanging="79"/>
              <w:spacing w:before="168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城镇低收入住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房困难家庭</w:t>
            </w:r>
          </w:p>
        </w:tc>
        <w:tc>
          <w:tcPr>
            <w:tcW w:w="1209" w:type="dxa"/>
            <w:vAlign w:val="top"/>
          </w:tcPr>
          <w:p>
            <w:pPr>
              <w:ind w:left="104" w:right="79" w:hanging="19"/>
              <w:spacing w:before="177" w:line="214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2"/>
              </w:rPr>
              <w:t>城镇中等收入</w:t>
            </w:r>
            <w:r>
              <w:rPr>
                <w:rFonts w:ascii="SimSun" w:hAnsi="SimSun" w:eastAsia="SimSun" w:cs="SimSun"/>
                <w:sz w:val="17"/>
                <w:szCs w:val="17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住房困难家庭</w:t>
            </w:r>
          </w:p>
        </w:tc>
        <w:tc>
          <w:tcPr>
            <w:tcW w:w="1379" w:type="dxa"/>
            <w:vAlign w:val="top"/>
          </w:tcPr>
          <w:p>
            <w:pPr>
              <w:ind w:left="86"/>
              <w:spacing w:before="269" w:line="220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新就业无房职工</w:t>
            </w:r>
          </w:p>
        </w:tc>
        <w:tc>
          <w:tcPr>
            <w:tcW w:w="1339" w:type="dxa"/>
            <w:vAlign w:val="top"/>
          </w:tcPr>
          <w:p>
            <w:pPr>
              <w:ind w:left="67"/>
              <w:spacing w:before="159" w:line="195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-1"/>
              </w:rPr>
              <w:t>城镇稳定就业的</w:t>
            </w:r>
          </w:p>
          <w:p>
            <w:pPr>
              <w:ind w:left="157"/>
              <w:spacing w:line="219" w:lineRule="auto"/>
              <w:rPr>
                <w:rFonts w:ascii="SimSun" w:hAnsi="SimSun" w:eastAsia="SimSun" w:cs="SimSun"/>
                <w:sz w:val="17"/>
                <w:szCs w:val="17"/>
              </w:rPr>
            </w:pPr>
            <w:r>
              <w:rPr>
                <w:rFonts w:ascii="SimSun" w:hAnsi="SimSun" w:eastAsia="SimSun" w:cs="SimSun"/>
                <w:sz w:val="17"/>
                <w:szCs w:val="17"/>
                <w:spacing w:val="3"/>
              </w:rPr>
              <w:t>外来务工人员</w:t>
            </w:r>
          </w:p>
        </w:tc>
        <w:tc>
          <w:tcPr>
            <w:tcW w:w="131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489" w:hRule="atLeast"/>
        </w:trPr>
        <w:tc>
          <w:tcPr>
            <w:tcW w:w="106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89" w:hRule="atLeast"/>
        </w:trPr>
        <w:tc>
          <w:tcPr>
            <w:tcW w:w="106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79" w:hRule="atLeast"/>
        </w:trPr>
        <w:tc>
          <w:tcPr>
            <w:tcW w:w="106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79" w:hRule="atLeast"/>
        </w:trPr>
        <w:tc>
          <w:tcPr>
            <w:tcW w:w="106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89" w:hRule="atLeast"/>
        </w:trPr>
        <w:tc>
          <w:tcPr>
            <w:tcW w:w="106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464" w:hRule="atLeast"/>
        </w:trPr>
        <w:tc>
          <w:tcPr>
            <w:tcW w:w="106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6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780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5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0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4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2"/>
          <w:pgSz w:w="16790" w:h="11820"/>
          <w:pgMar w:top="730" w:right="554" w:bottom="887" w:left="590" w:header="0" w:footer="679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67" w:line="219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13"/>
        </w:rPr>
        <w:t>附件5</w:t>
      </w:r>
    </w:p>
    <w:p>
      <w:pPr>
        <w:spacing w:line="330" w:lineRule="auto"/>
        <w:rPr>
          <w:rFonts w:ascii="Arial"/>
          <w:sz w:val="21"/>
        </w:rPr>
      </w:pPr>
      <w:r/>
    </w:p>
    <w:p>
      <w:pPr>
        <w:ind w:left="2521"/>
        <w:spacing w:before="153" w:line="219" w:lineRule="auto"/>
        <w:rPr>
          <w:rFonts w:ascii="SimHei" w:hAnsi="SimHei" w:eastAsia="SimHei" w:cs="SimHei"/>
          <w:sz w:val="47"/>
          <w:szCs w:val="47"/>
        </w:rPr>
      </w:pPr>
      <w:r>
        <w:rPr>
          <w:rFonts w:ascii="SimHei" w:hAnsi="SimHei" w:eastAsia="SimHei" w:cs="SimHei"/>
          <w:sz w:val="47"/>
          <w:szCs w:val="47"/>
          <w:b/>
          <w:bCs/>
          <w:spacing w:val="3"/>
        </w:rPr>
        <w:t>保障性租赁住房政策制定及执行情况调查表</w:t>
      </w:r>
    </w:p>
    <w:p>
      <w:pPr>
        <w:spacing w:line="131" w:lineRule="exact"/>
        <w:rPr/>
      </w:pPr>
      <w:r/>
    </w:p>
    <w:tbl>
      <w:tblPr>
        <w:tblStyle w:val="TableNormal"/>
        <w:tblW w:w="14089" w:type="dxa"/>
        <w:tblInd w:w="1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94"/>
        <w:gridCol w:w="1299"/>
        <w:gridCol w:w="1289"/>
        <w:gridCol w:w="1289"/>
        <w:gridCol w:w="1628"/>
        <w:gridCol w:w="1249"/>
        <w:gridCol w:w="1489"/>
        <w:gridCol w:w="1489"/>
        <w:gridCol w:w="1479"/>
        <w:gridCol w:w="1584"/>
      </w:tblGrid>
      <w:tr>
        <w:trPr>
          <w:trHeight w:val="1672" w:hRule="atLeast"/>
        </w:trPr>
        <w:tc>
          <w:tcPr>
            <w:tcW w:w="129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89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ind w:left="425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1"/>
              </w:rPr>
              <w:t>市州</w:t>
            </w:r>
          </w:p>
        </w:tc>
        <w:tc>
          <w:tcPr>
            <w:tcW w:w="12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0" w:lineRule="auto"/>
              <w:rPr/>
            </w:pPr>
            <w:r/>
          </w:p>
          <w:p>
            <w:pPr>
              <w:pStyle w:val="TableText"/>
              <w:spacing w:line="291" w:lineRule="auto"/>
              <w:rPr/>
            </w:pPr>
            <w:r/>
          </w:p>
          <w:p>
            <w:pPr>
              <w:ind w:left="331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县市区</w:t>
            </w:r>
          </w:p>
        </w:tc>
        <w:tc>
          <w:tcPr>
            <w:tcW w:w="12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211" w:right="57" w:hanging="179"/>
              <w:spacing w:before="65" w:line="20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是否出台具体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落实办法</w:t>
            </w:r>
          </w:p>
        </w:tc>
        <w:tc>
          <w:tcPr>
            <w:tcW w:w="12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0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pStyle w:val="TableText"/>
              <w:spacing w:line="261" w:lineRule="auto"/>
              <w:rPr/>
            </w:pPr>
            <w:r/>
          </w:p>
          <w:p>
            <w:pPr>
              <w:ind w:left="232" w:right="32" w:hanging="199"/>
              <w:spacing w:before="65" w:line="22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>是否出台运营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管理办法</w:t>
            </w:r>
          </w:p>
        </w:tc>
        <w:tc>
          <w:tcPr>
            <w:tcW w:w="162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pStyle w:val="TableText"/>
              <w:spacing w:line="271" w:lineRule="auto"/>
              <w:rPr/>
            </w:pPr>
            <w:r/>
          </w:p>
          <w:p>
            <w:pPr>
              <w:ind w:left="104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是否建立市县人</w:t>
            </w:r>
          </w:p>
          <w:p>
            <w:pPr>
              <w:ind w:left="104"/>
              <w:spacing w:before="11" w:line="20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民政府牵头，有</w:t>
            </w:r>
          </w:p>
          <w:p>
            <w:pPr>
              <w:ind w:left="104"/>
              <w:spacing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"/>
              </w:rPr>
              <w:t>关部门参加的工</w:t>
            </w:r>
          </w:p>
          <w:p>
            <w:pPr>
              <w:ind w:left="504"/>
              <w:spacing w:line="21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作机制</w:t>
            </w:r>
          </w:p>
        </w:tc>
        <w:tc>
          <w:tcPr>
            <w:tcW w:w="124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5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pStyle w:val="TableText"/>
              <w:spacing w:line="266" w:lineRule="auto"/>
              <w:rPr/>
            </w:pPr>
            <w:r/>
          </w:p>
          <w:p>
            <w:pPr>
              <w:ind w:left="316" w:right="133" w:hanging="200"/>
              <w:spacing w:before="65" w:line="20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>是否落实税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收优惠</w:t>
            </w:r>
          </w:p>
        </w:tc>
        <w:tc>
          <w:tcPr>
            <w:tcW w:w="4457" w:type="dxa"/>
            <w:vAlign w:val="top"/>
            <w:gridSpan w:val="3"/>
          </w:tcPr>
          <w:p>
            <w:pPr>
              <w:pStyle w:val="TableText"/>
              <w:spacing w:line="336" w:lineRule="auto"/>
              <w:rPr/>
            </w:pPr>
            <w:r/>
          </w:p>
          <w:p>
            <w:pPr>
              <w:pStyle w:val="TableText"/>
              <w:spacing w:line="336" w:lineRule="auto"/>
              <w:rPr/>
            </w:pPr>
            <w:r/>
          </w:p>
          <w:p>
            <w:pPr>
              <w:ind w:left="1117"/>
              <w:spacing w:before="65" w:line="21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是否落实民用水电气价格</w:t>
            </w:r>
          </w:p>
        </w:tc>
        <w:tc>
          <w:tcPr>
            <w:tcW w:w="158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310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pStyle w:val="TableText"/>
              <w:spacing w:line="311" w:lineRule="auto"/>
              <w:rPr/>
            </w:pPr>
            <w:r/>
          </w:p>
          <w:p>
            <w:pPr>
              <w:ind w:left="90"/>
              <w:spacing w:before="65" w:line="21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各类政策支持租</w:t>
            </w:r>
          </w:p>
          <w:p>
            <w:pPr>
              <w:ind w:left="90"/>
              <w:spacing w:line="21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"/>
              </w:rPr>
              <w:t>赁住房是否纳入</w:t>
            </w:r>
          </w:p>
          <w:p>
            <w:pPr>
              <w:ind w:left="289"/>
              <w:spacing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"/>
              </w:rPr>
              <w:t>保租房管理</w:t>
            </w:r>
          </w:p>
        </w:tc>
      </w:tr>
      <w:tr>
        <w:trPr>
          <w:trHeight w:val="979" w:hRule="atLeast"/>
        </w:trPr>
        <w:tc>
          <w:tcPr>
            <w:tcW w:w="129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spacing w:line="324" w:lineRule="auto"/>
              <w:rPr/>
            </w:pPr>
            <w:r/>
          </w:p>
          <w:p>
            <w:pPr>
              <w:ind w:left="627"/>
              <w:spacing w:before="65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水</w:t>
            </w:r>
          </w:p>
        </w:tc>
        <w:tc>
          <w:tcPr>
            <w:tcW w:w="1489" w:type="dxa"/>
            <w:vAlign w:val="top"/>
          </w:tcPr>
          <w:p>
            <w:pPr>
              <w:pStyle w:val="TableText"/>
              <w:spacing w:line="330" w:lineRule="auto"/>
              <w:rPr/>
            </w:pPr>
            <w:r/>
          </w:p>
          <w:p>
            <w:pPr>
              <w:ind w:left="617"/>
              <w:spacing w:before="65" w:line="22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</w:rPr>
              <w:t>电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line="325" w:lineRule="auto"/>
              <w:rPr/>
            </w:pPr>
            <w:r/>
          </w:p>
          <w:p>
            <w:pPr>
              <w:ind w:left="529"/>
              <w:spacing w:before="65" w:line="22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</w:rPr>
              <w:t>燃气</w:t>
            </w:r>
          </w:p>
        </w:tc>
        <w:tc>
          <w:tcPr>
            <w:tcW w:w="158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89" w:hRule="atLeast"/>
        </w:trPr>
        <w:tc>
          <w:tcPr>
            <w:tcW w:w="12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9" w:hRule="atLeast"/>
        </w:trPr>
        <w:tc>
          <w:tcPr>
            <w:tcW w:w="12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9" w:hRule="atLeast"/>
        </w:trPr>
        <w:tc>
          <w:tcPr>
            <w:tcW w:w="12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9" w:hRule="atLeast"/>
        </w:trPr>
        <w:tc>
          <w:tcPr>
            <w:tcW w:w="12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89" w:hRule="atLeast"/>
        </w:trPr>
        <w:tc>
          <w:tcPr>
            <w:tcW w:w="12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94" w:hRule="atLeast"/>
        </w:trPr>
        <w:tc>
          <w:tcPr>
            <w:tcW w:w="129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62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4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7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8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3"/>
          <w:pgSz w:w="16810" w:h="11880"/>
          <w:pgMar w:top="749" w:right="1605" w:bottom="400" w:left="1094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before="67" w:line="219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b/>
          <w:bCs/>
          <w:spacing w:val="18"/>
        </w:rPr>
        <w:t>附件6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ind w:left="3041"/>
        <w:spacing w:before="146" w:line="220" w:lineRule="auto"/>
        <w:rPr>
          <w:rFonts w:ascii="SimHei" w:hAnsi="SimHei" w:eastAsia="SimHei" w:cs="SimHei"/>
          <w:sz w:val="45"/>
          <w:szCs w:val="45"/>
        </w:rPr>
      </w:pPr>
      <w:r>
        <w:rPr>
          <w:rFonts w:ascii="SimHei" w:hAnsi="SimHei" w:eastAsia="SimHei" w:cs="SimHei"/>
          <w:sz w:val="45"/>
          <w:szCs w:val="45"/>
          <w:b/>
          <w:bCs/>
          <w:spacing w:val="2"/>
        </w:rPr>
        <w:t>保障性租赁住房准入退出等管理情况调查表</w:t>
      </w:r>
    </w:p>
    <w:p>
      <w:pPr>
        <w:spacing w:line="141" w:lineRule="exact"/>
        <w:rPr/>
      </w:pPr>
      <w:r/>
    </w:p>
    <w:tbl>
      <w:tblPr>
        <w:tblStyle w:val="TableNormal"/>
        <w:tblW w:w="14689" w:type="dxa"/>
        <w:tblInd w:w="3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1234"/>
        <w:gridCol w:w="1239"/>
        <w:gridCol w:w="1219"/>
        <w:gridCol w:w="1239"/>
        <w:gridCol w:w="1229"/>
        <w:gridCol w:w="1539"/>
        <w:gridCol w:w="1389"/>
        <w:gridCol w:w="1429"/>
        <w:gridCol w:w="1419"/>
        <w:gridCol w:w="1369"/>
        <w:gridCol w:w="1384"/>
      </w:tblGrid>
      <w:tr>
        <w:trPr>
          <w:trHeight w:val="1583" w:hRule="atLeast"/>
        </w:trPr>
        <w:tc>
          <w:tcPr>
            <w:tcW w:w="123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5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404"/>
              <w:spacing w:before="61" w:line="21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市州</w:t>
            </w:r>
          </w:p>
        </w:tc>
        <w:tc>
          <w:tcPr>
            <w:tcW w:w="12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pStyle w:val="TableText"/>
              <w:spacing w:line="276" w:lineRule="auto"/>
              <w:rPr/>
            </w:pPr>
            <w:r/>
          </w:p>
          <w:p>
            <w:pPr>
              <w:ind w:left="330"/>
              <w:spacing w:before="62" w:line="21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县市区</w:t>
            </w:r>
          </w:p>
        </w:tc>
        <w:tc>
          <w:tcPr>
            <w:tcW w:w="2458" w:type="dxa"/>
            <w:vAlign w:val="top"/>
            <w:gridSpan w:val="2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741" w:right="62" w:hanging="659"/>
              <w:spacing w:before="61" w:line="20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保障性租赁住房准入和退出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的具体条件</w:t>
            </w:r>
          </w:p>
        </w:tc>
        <w:tc>
          <w:tcPr>
            <w:tcW w:w="122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98" w:lineRule="auto"/>
              <w:rPr/>
            </w:pPr>
            <w:r/>
          </w:p>
          <w:p>
            <w:pPr>
              <w:pStyle w:val="TableText"/>
              <w:spacing w:line="298" w:lineRule="auto"/>
              <w:rPr/>
            </w:pPr>
            <w:r/>
          </w:p>
          <w:p>
            <w:pPr>
              <w:pStyle w:val="TableText"/>
              <w:spacing w:line="299" w:lineRule="auto"/>
              <w:rPr/>
            </w:pPr>
            <w:r/>
          </w:p>
          <w:p>
            <w:pPr>
              <w:ind w:left="34"/>
              <w:spacing w:before="61" w:line="20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租金不高于市</w:t>
            </w:r>
          </w:p>
          <w:p>
            <w:pPr>
              <w:ind w:left="34"/>
              <w:spacing w:line="20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场租金的百分</w:t>
            </w:r>
          </w:p>
          <w:p>
            <w:pPr>
              <w:ind w:left="324"/>
              <w:spacing w:line="22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之多少</w:t>
            </w:r>
          </w:p>
        </w:tc>
        <w:tc>
          <w:tcPr>
            <w:tcW w:w="15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6" w:lineRule="auto"/>
              <w:rPr/>
            </w:pPr>
            <w:r/>
          </w:p>
          <w:p>
            <w:pPr>
              <w:pStyle w:val="TableText"/>
              <w:spacing w:line="247" w:lineRule="auto"/>
              <w:rPr/>
            </w:pPr>
            <w:r/>
          </w:p>
          <w:p>
            <w:pPr>
              <w:ind w:left="473" w:right="91" w:hanging="379"/>
              <w:spacing w:before="62" w:line="20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是否建立租金定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价机制</w:t>
            </w:r>
          </w:p>
        </w:tc>
        <w:tc>
          <w:tcPr>
            <w:tcW w:w="138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pStyle w:val="TableText"/>
              <w:spacing w:line="262" w:lineRule="auto"/>
              <w:rPr/>
            </w:pPr>
            <w:r/>
          </w:p>
          <w:p>
            <w:pPr>
              <w:ind w:left="305" w:right="131" w:hanging="189"/>
              <w:spacing w:before="62" w:line="20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租金是否实行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动态调整</w:t>
            </w:r>
          </w:p>
          <w:p>
            <w:pPr>
              <w:ind w:left="355" w:right="157" w:hanging="190"/>
              <w:spacing w:line="21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(若是，填调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整年限)</w:t>
            </w:r>
          </w:p>
        </w:tc>
        <w:tc>
          <w:tcPr>
            <w:tcW w:w="2848" w:type="dxa"/>
            <w:vAlign w:val="top"/>
            <w:gridSpan w:val="2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1135" w:right="97" w:hanging="1049"/>
              <w:spacing w:before="62" w:line="222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对保障性租赁住房最低运营期限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的规定</w:t>
            </w:r>
          </w:p>
        </w:tc>
        <w:tc>
          <w:tcPr>
            <w:tcW w:w="136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208" w:right="20" w:hanging="190"/>
              <w:spacing w:before="62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是否定期进行承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租资格复核</w:t>
            </w:r>
          </w:p>
        </w:tc>
        <w:tc>
          <w:tcPr>
            <w:tcW w:w="138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8" w:lineRule="auto"/>
              <w:rPr/>
            </w:pPr>
            <w:r/>
          </w:p>
          <w:p>
            <w:pPr>
              <w:pStyle w:val="TableText"/>
              <w:spacing w:line="249" w:lineRule="auto"/>
              <w:rPr/>
            </w:pPr>
            <w:r/>
          </w:p>
          <w:p>
            <w:pPr>
              <w:ind w:left="309" w:right="124" w:hanging="190"/>
              <w:spacing w:before="62" w:line="21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是否公布举报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投诉电话</w:t>
            </w:r>
          </w:p>
        </w:tc>
      </w:tr>
      <w:tr>
        <w:trPr>
          <w:trHeight w:val="928" w:hRule="atLeast"/>
        </w:trPr>
        <w:tc>
          <w:tcPr>
            <w:tcW w:w="123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spacing w:line="307" w:lineRule="auto"/>
              <w:rPr/>
            </w:pPr>
            <w:r/>
          </w:p>
          <w:p>
            <w:pPr>
              <w:ind w:left="391"/>
              <w:spacing w:before="61" w:line="22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准入</w:t>
            </w:r>
          </w:p>
        </w:tc>
        <w:tc>
          <w:tcPr>
            <w:tcW w:w="1239" w:type="dxa"/>
            <w:vAlign w:val="top"/>
          </w:tcPr>
          <w:p>
            <w:pPr>
              <w:pStyle w:val="TableText"/>
              <w:spacing w:line="309" w:lineRule="auto"/>
              <w:rPr/>
            </w:pPr>
            <w:r/>
          </w:p>
          <w:p>
            <w:pPr>
              <w:ind w:left="402"/>
              <w:spacing w:before="62" w:line="223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退出</w:t>
            </w:r>
          </w:p>
        </w:tc>
        <w:tc>
          <w:tcPr>
            <w:tcW w:w="122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spacing w:line="306" w:lineRule="auto"/>
              <w:rPr/>
            </w:pPr>
            <w:r/>
          </w:p>
          <w:p>
            <w:pPr>
              <w:ind w:left="426"/>
              <w:spacing w:before="62" w:line="21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2"/>
              </w:rPr>
              <w:t>新建类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line="306" w:lineRule="auto"/>
              <w:rPr/>
            </w:pPr>
            <w:r/>
          </w:p>
          <w:p>
            <w:pPr>
              <w:ind w:left="437"/>
              <w:spacing w:before="62" w:line="21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改建类</w:t>
            </w:r>
          </w:p>
        </w:tc>
        <w:tc>
          <w:tcPr>
            <w:tcW w:w="1369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  <w:vMerge w:val="continue"/>
            <w:tcBorders>
              <w:top w:val="nil"/>
            </w:tcBorders>
          </w:tcPr>
          <w:p>
            <w:pPr>
              <w:pStyle w:val="TableText"/>
              <w:rPr/>
            </w:pPr>
            <w:r/>
          </w:p>
        </w:tc>
      </w:tr>
      <w:tr>
        <w:trPr>
          <w:trHeight w:val="56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5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4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9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4" w:hRule="atLeast"/>
        </w:trPr>
        <w:tc>
          <w:tcPr>
            <w:tcW w:w="1234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2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41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6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384" w:type="dxa"/>
            <w:vAlign w:val="top"/>
          </w:tcPr>
          <w:p>
            <w:pPr>
              <w:pStyle w:val="TableText"/>
              <w:rPr/>
            </w:pPr>
            <w:r/>
          </w:p>
        </w:tc>
      </w:tr>
    </w:tbl>
    <w:p>
      <w:pPr>
        <w:rPr>
          <w:rFonts w:ascii="Arial"/>
          <w:sz w:val="21"/>
        </w:rPr>
      </w:pPr>
      <w:r/>
    </w:p>
    <w:sectPr>
      <w:pgSz w:w="16910" w:h="11860"/>
      <w:pgMar w:top="709" w:right="1065" w:bottom="400" w:left="1114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50" w:lineRule="exact"/>
      <w:rPr>
        <w:rFonts w:ascii="Arial"/>
        <w:sz w:val="4"/>
      </w:rPr>
    </w:pPr>
    <w:r>
      <w:pict>
        <v:rect id="_x0000_s2" style="position:absolute;margin-left:52.9984pt;margin-top:787.499pt;mso-position-vertical-relative:page;mso-position-horizontal-relative:page;width:485.55pt;height:3.05pt;z-index:251658240;" o:allowincell="f" fillcolor="#000000" filled="true" stroked="false"/>
      </w:pict>
    </w: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59"/>
      <w:spacing w:line="174" w:lineRule="auto"/>
      <w:rPr>
        <w:sz w:val="31"/>
        <w:szCs w:val="31"/>
      </w:rPr>
    </w:pPr>
    <w:r>
      <w:rPr>
        <w:sz w:val="31"/>
        <w:szCs w:val="31"/>
        <w:spacing w:val="-4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470"/>
      <w:spacing w:before="1" w:line="176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0"/>
      <w:spacing w:line="177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—4</w:t>
    </w:r>
    <w:r>
      <w:rPr>
        <w:rFonts w:ascii="SimSun" w:hAnsi="SimSun" w:eastAsia="SimSun" w:cs="SimSun"/>
        <w:sz w:val="31"/>
        <w:szCs w:val="31"/>
        <w:spacing w:val="130"/>
      </w:rPr>
      <w:t xml:space="preserve"> </w:t>
    </w:r>
    <w:r>
      <w:rPr>
        <w:rFonts w:ascii="SimSun" w:hAnsi="SimSun" w:eastAsia="SimSun" w:cs="SimSun"/>
        <w:sz w:val="31"/>
        <w:szCs w:val="31"/>
        <w:spacing w:val="-4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72"/>
      <w:spacing w:before="1" w:line="175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39"/>
      <w:spacing w:line="174" w:lineRule="auto"/>
      <w:rPr>
        <w:rFonts w:ascii="SimSun" w:hAnsi="SimSun" w:eastAsia="SimSun" w:cs="SimSun"/>
        <w:sz w:val="22"/>
        <w:szCs w:val="22"/>
      </w:rPr>
    </w:pPr>
    <w:r>
      <w:rPr>
        <w:rFonts w:ascii="SimSun" w:hAnsi="SimSun" w:eastAsia="SimSun" w:cs="SimSun"/>
        <w:sz w:val="22"/>
        <w:szCs w:val="22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80"/>
      <w:spacing w:line="172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29"/>
      <w:spacing w:line="173" w:lineRule="auto"/>
      <w:rPr>
        <w:rFonts w:ascii="SimSun" w:hAnsi="SimSun" w:eastAsia="SimSun" w:cs="SimSun"/>
        <w:sz w:val="20"/>
        <w:szCs w:val="20"/>
      </w:rPr>
    </w:pPr>
    <w:r>
      <w:rPr>
        <w:rFonts w:ascii="SimSun" w:hAnsi="SimSun" w:eastAsia="SimSun" w:cs="SimSun"/>
        <w:sz w:val="20"/>
        <w:szCs w:val="20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810"/>
      <w:spacing w:line="174" w:lineRule="auto"/>
      <w:rPr>
        <w:rFonts w:ascii="SimSun" w:hAnsi="SimSun" w:eastAsia="SimSun" w:cs="SimSun"/>
        <w:sz w:val="21"/>
        <w:szCs w:val="21"/>
      </w:rPr>
    </w:pPr>
    <w:r>
      <w:rPr>
        <w:rFonts w:ascii="SimSun" w:hAnsi="SimSun" w:eastAsia="SimSun" w:cs="SimSun"/>
        <w:sz w:val="21"/>
        <w:szCs w:val="21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5"/>
      <w:szCs w:val="35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image" Target="media/image3.png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image" Target="media/image2.png"/><Relationship Id="rId16" Type="http://schemas.openxmlformats.org/officeDocument/2006/relationships/fontTable" Target="fontTable.xml"/><Relationship Id="rId15" Type="http://schemas.openxmlformats.org/officeDocument/2006/relationships/styles" Target="styles.xml"/><Relationship Id="rId14" Type="http://schemas.openxmlformats.org/officeDocument/2006/relationships/settings" Target="settings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2024-04-10T17:48:29Z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2024-04-10T17:48:31</vt:filetime>
  </property>
  <property fmtid="{D5CDD505-2E9C-101B-9397-08002B2CF9AE}" pid="4" name="UsrData">
    <vt:lpwstr>6616606af024c1001f6bfb08wl</vt:lpwstr>
  </property>
</Properties>
</file>