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100"/>
          <w:szCs w:val="100"/>
        </w:rPr>
      </w:pPr>
      <w:bookmarkStart w:id="0" w:name="OLE_LINK1"/>
      <w:r>
        <w:rPr>
          <w:rFonts w:ascii="华文中宋" w:hAnsi="华文中宋" w:eastAsia="华文中宋"/>
          <w:b/>
          <w:sz w:val="100"/>
          <w:szCs w:val="100"/>
        </w:rPr>
        <w:pict>
          <v:shape id="_x0000_i1025" o:spt="136" type="#_x0000_t136" style="height:63.75pt;width:391.5pt;" fillcolor="#FF0000" filled="t" stroked="t" coordsize="21600,21600">
            <v:path/>
            <v:fill on="t" focussize="0,0"/>
            <v:stroke weight="4pt" color="#FF0000"/>
            <v:imagedata o:title=""/>
            <o:lock v:ext="edit" text="f"/>
            <v:textpath on="t" fitshape="t" fitpath="t" trim="t" xscale="f" string="环境监测月报" style="font-family:幼圆;font-size:36pt;v-text-align:center;"/>
            <w10:wrap type="none"/>
            <w10:anchorlock/>
          </v:shape>
        </w:pict>
      </w:r>
      <w:bookmarkEnd w:id="0"/>
    </w:p>
    <w:p>
      <w:pPr>
        <w:spacing w:before="592" w:beforeLines="190" w:line="400" w:lineRule="exact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第</w:t>
      </w:r>
      <w:r>
        <w:rPr>
          <w:rFonts w:hint="eastAsia"/>
          <w:b/>
          <w:sz w:val="48"/>
          <w:szCs w:val="48"/>
          <w:lang w:val="en-US" w:eastAsia="zh-CN"/>
        </w:rPr>
        <w:t>七</w:t>
      </w:r>
      <w:r>
        <w:rPr>
          <w:rFonts w:hint="eastAsia"/>
          <w:b/>
          <w:sz w:val="48"/>
          <w:szCs w:val="48"/>
        </w:rPr>
        <w:t>期（总第</w:t>
      </w:r>
      <w:r>
        <w:rPr>
          <w:rFonts w:hint="eastAsia"/>
          <w:b/>
          <w:sz w:val="48"/>
          <w:szCs w:val="48"/>
          <w:lang w:val="en-US" w:eastAsia="zh-CN"/>
        </w:rPr>
        <w:t>343</w:t>
      </w:r>
      <w:r>
        <w:rPr>
          <w:rFonts w:hint="eastAsia"/>
          <w:b/>
          <w:sz w:val="48"/>
          <w:szCs w:val="48"/>
        </w:rPr>
        <w:t>）</w:t>
      </w:r>
    </w:p>
    <w:p>
      <w:pPr>
        <w:spacing w:before="592" w:beforeLines="190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邵阳市城步生态环境监测站</w:t>
      </w:r>
      <w:r>
        <w:rPr>
          <w:rFonts w:hint="eastAsia"/>
          <w:b/>
          <w:sz w:val="32"/>
          <w:szCs w:val="32"/>
        </w:rPr>
        <w:t xml:space="preserve">               20</w:t>
      </w:r>
      <w:r>
        <w:rPr>
          <w:rFonts w:hint="eastAsia"/>
          <w:b/>
          <w:sz w:val="32"/>
          <w:szCs w:val="32"/>
          <w:lang w:val="en-US" w:eastAsia="zh-CN"/>
        </w:rPr>
        <w:t>22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7</w:t>
      </w:r>
      <w:r>
        <w:rPr>
          <w:rFonts w:hint="eastAsia"/>
          <w:b/>
          <w:sz w:val="32"/>
          <w:szCs w:val="32"/>
        </w:rPr>
        <w:t>月</w:t>
      </w:r>
    </w:p>
    <w:p>
      <w:pPr>
        <w:spacing w:before="592" w:beforeLines="190" w:line="400" w:lineRule="exact"/>
        <w:jc w:val="center"/>
        <w:rPr>
          <w:b/>
          <w:sz w:val="32"/>
          <w:szCs w:val="32"/>
        </w:rPr>
      </w:pPr>
      <w:bookmarkStart w:id="1" w:name="OLE_LINK2"/>
    </w:p>
    <w:bookmarkEnd w:id="1"/>
    <w:p>
      <w:pPr>
        <w:spacing w:before="156" w:beforeLines="50" w:line="560" w:lineRule="exact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　　一、城市环境空气质量</w:t>
      </w:r>
    </w:p>
    <w:p>
      <w:pPr>
        <w:spacing w:before="156" w:beforeLines="50" w:line="560" w:lineRule="exac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  我</w:t>
      </w:r>
      <w:bookmarkStart w:id="2" w:name="OLE_LINK23"/>
      <w:r>
        <w:rPr>
          <w:rFonts w:hint="eastAsia" w:ascii="仿宋_GB2312" w:hAnsi="华文楷体" w:eastAsia="仿宋_GB2312"/>
          <w:sz w:val="28"/>
          <w:szCs w:val="28"/>
        </w:rPr>
        <w:t>县在财政局办公楼顶设环境空气质量自动监测点，</w:t>
      </w:r>
      <w:bookmarkStart w:id="3" w:name="OLE_LINK3"/>
      <w:r>
        <w:rPr>
          <w:rFonts w:hint="eastAsia" w:ascii="仿宋_GB2312" w:hAnsi="华文楷体" w:eastAsia="仿宋_GB2312"/>
          <w:sz w:val="28"/>
          <w:szCs w:val="28"/>
        </w:rPr>
        <w:t>为空气质量日报点。按照《环境空气质量标准》（GB3095-2012）监测六个基本项目：二氧化硫、二氧化氮、可吸入颗粒物（</w:t>
      </w:r>
      <w:bookmarkEnd w:id="2"/>
      <w:r>
        <w:rPr>
          <w:rFonts w:hint="eastAsia" w:ascii="仿宋_GB2312" w:hAnsi="华文楷体" w:eastAsia="仿宋_GB2312"/>
          <w:sz w:val="28"/>
          <w:szCs w:val="28"/>
        </w:rPr>
        <w:t>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10</w:t>
      </w:r>
      <w:r>
        <w:rPr>
          <w:rFonts w:hint="eastAsia" w:ascii="仿宋_GB2312" w:hAnsi="华文楷体" w:eastAsia="仿宋_GB2312"/>
          <w:sz w:val="28"/>
          <w:szCs w:val="28"/>
        </w:rPr>
        <w:t>）、细颗粒物（PM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2.5</w:t>
      </w:r>
      <w:r>
        <w:rPr>
          <w:rFonts w:hint="eastAsia" w:ascii="仿宋_GB2312" w:hAnsi="华文楷体" w:eastAsia="仿宋_GB2312"/>
          <w:sz w:val="28"/>
          <w:szCs w:val="28"/>
        </w:rPr>
        <w:t>）、一氧化碳、臭氧。</w:t>
      </w:r>
    </w:p>
    <w:p>
      <w:pPr>
        <w:spacing w:before="156" w:beforeLines="50" w:line="560" w:lineRule="exac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　　</w:t>
      </w:r>
      <w:r>
        <w:rPr>
          <w:rFonts w:hint="eastAsia" w:ascii="仿宋_GB2312" w:hAnsi="华文楷体" w:eastAsia="仿宋_GB2312"/>
          <w:b/>
          <w:bCs/>
          <w:sz w:val="28"/>
          <w:szCs w:val="28"/>
        </w:rPr>
        <w:t>1、各监测项目与去年同期比较</w:t>
      </w:r>
    </w:p>
    <w:p>
      <w:pPr>
        <w:spacing w:before="156" w:beforeLines="50" w:line="560" w:lineRule="exact"/>
        <w:ind w:firstLine="420" w:firstLineChars="150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（1）二氧化硫</w:t>
      </w:r>
      <w:r>
        <w:rPr>
          <w:rFonts w:hint="eastAsia" w:ascii="??_GB2312" w:hAnsi="华文楷体"/>
          <w:sz w:val="28"/>
          <w:szCs w:val="28"/>
        </w:rPr>
        <w:t>（</w:t>
      </w:r>
      <w:r>
        <w:rPr>
          <w:rFonts w:hint="eastAsia" w:ascii="仿宋_GB2312" w:hAnsi="华文楷体" w:eastAsia="仿宋_GB2312"/>
          <w:sz w:val="28"/>
          <w:szCs w:val="28"/>
        </w:rPr>
        <w:t>SO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</w:t>
      </w:r>
      <w:r>
        <w:rPr>
          <w:rFonts w:hint="eastAsia" w:ascii="仿宋_GB2312" w:hAnsi="华文楷体" w:eastAsia="仿宋_GB2312"/>
          <w:sz w:val="28"/>
          <w:szCs w:val="28"/>
        </w:rPr>
        <w:t>)：月平均浓度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上升40.0%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before="156" w:beforeLines="50" w:line="560" w:lineRule="exact"/>
        <w:ind w:firstLine="420" w:firstLineChars="150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（2）二氧化氮(NO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</w:t>
      </w:r>
      <w:r>
        <w:rPr>
          <w:rFonts w:hint="eastAsia" w:ascii="仿宋_GB2312" w:hAnsi="华文楷体" w:eastAsia="仿宋_GB2312"/>
          <w:sz w:val="28"/>
          <w:szCs w:val="28"/>
        </w:rPr>
        <w:t>)：月平均浓度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上升50.0%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　　(3)可吸入颗粒物（PM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10</w:t>
      </w:r>
      <w:r>
        <w:rPr>
          <w:rFonts w:hint="eastAsia" w:ascii="仿宋_GB2312" w:hAnsi="华文楷体" w:eastAsia="仿宋_GB2312"/>
          <w:sz w:val="28"/>
          <w:szCs w:val="28"/>
        </w:rPr>
        <w:t>）：月平均浓度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上升42.9%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ascii="仿宋_GB2312" w:hAnsi="华文楷体" w:eastAsia="仿宋_GB2312"/>
          <w:sz w:val="28"/>
          <w:szCs w:val="28"/>
        </w:rPr>
      </w:pPr>
      <w:bookmarkStart w:id="4" w:name="OLE_LINK24"/>
      <w:r>
        <w:rPr>
          <w:rFonts w:hint="eastAsia" w:ascii="仿宋_GB2312" w:hAnsi="华文楷体" w:eastAsia="仿宋_GB2312"/>
          <w:sz w:val="28"/>
          <w:szCs w:val="28"/>
        </w:rPr>
        <w:t xml:space="preserve">   （4）细颗粒物（PM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2.5</w:t>
      </w:r>
      <w:r>
        <w:rPr>
          <w:rFonts w:hint="eastAsia" w:ascii="仿宋_GB2312" w:hAnsi="华文楷体" w:eastAsia="仿宋_GB2312"/>
          <w:sz w:val="28"/>
          <w:szCs w:val="28"/>
        </w:rPr>
        <w:t>）：月平均浓度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bookmarkEnd w:id="4"/>
      <w:bookmarkStart w:id="5" w:name="OLE_LINK25"/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上升14.3%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hint="eastAsia" w:ascii="仿宋_GB2312" w:hAnsi="华文楷体" w:eastAsia="仿宋_GB2312"/>
          <w:sz w:val="28"/>
          <w:szCs w:val="28"/>
          <w:lang w:eastAsia="zh-CN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 （5）一氧化碳</w:t>
      </w:r>
      <w:r>
        <w:rPr>
          <w:rFonts w:hint="eastAsia" w:ascii="??_GB2312" w:hAnsi="华文楷体"/>
          <w:sz w:val="28"/>
          <w:szCs w:val="28"/>
        </w:rPr>
        <w:t>(</w:t>
      </w:r>
      <w:r>
        <w:rPr>
          <w:rFonts w:hint="eastAsia" w:ascii="仿宋_GB2312" w:hAnsi="华文楷体" w:eastAsia="仿宋_GB2312"/>
          <w:sz w:val="28"/>
          <w:szCs w:val="28"/>
        </w:rPr>
        <w:t>CO</w:t>
      </w:r>
      <w:r>
        <w:rPr>
          <w:rFonts w:hint="eastAsia" w:ascii="??_GB2312" w:hAnsi="华文楷体"/>
          <w:sz w:val="28"/>
          <w:szCs w:val="28"/>
        </w:rPr>
        <w:t>)</w:t>
      </w:r>
      <w:r>
        <w:rPr>
          <w:rFonts w:hint="eastAsia" w:ascii="仿宋_GB2312" w:hAnsi="华文楷体" w:eastAsia="仿宋_GB2312"/>
          <w:sz w:val="28"/>
          <w:szCs w:val="28"/>
        </w:rPr>
        <w:t>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0.5</w:t>
      </w:r>
      <w:r>
        <w:rPr>
          <w:rFonts w:hint="eastAsia" w:ascii="仿宋_GB2312" w:hAnsi="华文楷体" w:eastAsia="仿宋_GB2312"/>
          <w:sz w:val="28"/>
          <w:szCs w:val="28"/>
        </w:rPr>
        <w:t>mg/Nm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下降64.3%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。</w:t>
      </w:r>
    </w:p>
    <w:p>
      <w:pPr>
        <w:spacing w:line="560" w:lineRule="exact"/>
        <w:ind w:firstLine="560" w:firstLineChars="200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华文楷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6）</w:t>
      </w:r>
      <w:r>
        <w:rPr>
          <w:rFonts w:hint="eastAsia" w:ascii="仿宋_GB2312" w:hAnsi="华文楷体" w:eastAsia="仿宋_GB2312"/>
          <w:sz w:val="28"/>
          <w:szCs w:val="28"/>
        </w:rPr>
        <w:t>臭氧</w:t>
      </w:r>
      <w:r>
        <w:rPr>
          <w:rFonts w:hint="eastAsia" w:ascii="??_GB2312" w:hAnsi="华文楷体"/>
          <w:sz w:val="28"/>
          <w:szCs w:val="28"/>
        </w:rPr>
        <w:t>(O</w:t>
      </w:r>
      <w:r>
        <w:rPr>
          <w:rFonts w:hint="eastAsia" w:ascii="??_GB2312" w:hAnsi="华文楷体"/>
          <w:sz w:val="28"/>
          <w:szCs w:val="28"/>
          <w:vertAlign w:val="subscript"/>
        </w:rPr>
        <w:t>3</w:t>
      </w:r>
      <w:r>
        <w:rPr>
          <w:rFonts w:hint="eastAsia" w:ascii="??_GB2312" w:hAnsi="华文楷体"/>
          <w:sz w:val="28"/>
          <w:szCs w:val="28"/>
        </w:rPr>
        <w:t>)</w:t>
      </w:r>
      <w:r>
        <w:rPr>
          <w:rFonts w:hint="eastAsia" w:ascii="仿宋_GB2312" w:hAnsi="华文楷体" w:eastAsia="仿宋_GB2312"/>
          <w:sz w:val="28"/>
          <w:szCs w:val="28"/>
        </w:rPr>
        <w:t>：月均日最大8小时滑动平均浓度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78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 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bookmarkEnd w:id="5"/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下降17.0</w:t>
      </w:r>
      <w:r>
        <w:rPr>
          <w:rFonts w:hint="eastAsia" w:ascii="仿宋_GB2312" w:hAnsi="华文楷体" w:eastAsia="仿宋_GB2312"/>
          <w:sz w:val="28"/>
          <w:szCs w:val="28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outlineLvl w:val="9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  <w:t xml:space="preserve"> 2、各项指标与《环境空气质量标准》比较。</w:t>
      </w:r>
    </w:p>
    <w:p>
      <w:pPr>
        <w:spacing w:before="156" w:beforeLines="50" w:line="560" w:lineRule="exact"/>
        <w:ind w:firstLine="840" w:firstLineChars="300"/>
        <w:jc w:val="left"/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  <w:t>7月份所测环境空气质量参数中，参数均达标（具体数据见下表）。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ind w:firstLine="361" w:firstLineChars="150"/>
        <w:jc w:val="center"/>
        <w:textAlignment w:val="auto"/>
        <w:outlineLvl w:val="9"/>
        <w:rPr>
          <w:rFonts w:ascii="宋体" w:hAnsi="宋体" w:eastAsia="宋体" w:cs="宋体"/>
          <w:b/>
          <w:color w:val="333333"/>
          <w:kern w:val="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20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月环境空气污染物浓度均值与标准比较表</w:t>
      </w:r>
    </w:p>
    <w:tbl>
      <w:tblPr>
        <w:tblStyle w:val="2"/>
        <w:tblW w:w="8867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1014"/>
        <w:gridCol w:w="1020"/>
        <w:gridCol w:w="1155"/>
        <w:gridCol w:w="1380"/>
        <w:gridCol w:w="1230"/>
        <w:gridCol w:w="12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18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点位</w:t>
            </w:r>
          </w:p>
        </w:tc>
        <w:tc>
          <w:tcPr>
            <w:tcW w:w="101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SO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NO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55" w:type="dxa"/>
            <w:tcBorders>
              <w:top w:val="single" w:color="auto" w:sz="12" w:space="0"/>
              <w:left w:val="nil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bookmarkStart w:id="6" w:name="OLE_LINK5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PM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10</w:t>
            </w:r>
            <w:bookmarkEnd w:id="6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15"/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ab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15"/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PM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2.5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CO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(mg/m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8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城步县财政局楼顶</w:t>
            </w:r>
          </w:p>
        </w:tc>
        <w:tc>
          <w:tcPr>
            <w:tcW w:w="101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9"/>
                <w:tab w:val="center" w:pos="5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2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0.5</w:t>
            </w:r>
          </w:p>
        </w:tc>
        <w:tc>
          <w:tcPr>
            <w:tcW w:w="12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78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bookmarkStart w:id="7" w:name="OLE_LINK8" w:colFirst="4" w:colLast="4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《环境空气质量标准》GB3095-2012年均浓度限值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4(日均值)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160(日均值)</w:t>
            </w:r>
          </w:p>
        </w:tc>
      </w:tr>
      <w:bookmarkEnd w:id="7"/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备注：根据《环境空气质量评价技术规范（试行）》(HJ633-2013)，CO取城市日均值百分之95位数；O</w:t>
      </w: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  <w:vertAlign w:val="subscript"/>
        </w:rPr>
        <w:t>3</w:t>
      </w: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取城市日最大8小时平均百分之90位数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firstLine="562" w:firstLineChars="200"/>
        <w:jc w:val="left"/>
        <w:textAlignment w:val="auto"/>
        <w:outlineLvl w:val="9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  <w:t>3、环境空气质量日报状况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right="-176" w:firstLine="551"/>
        <w:jc w:val="lef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华文楷体" w:eastAsia="仿宋_GB2312"/>
          <w:sz w:val="28"/>
          <w:szCs w:val="28"/>
        </w:rPr>
        <w:t>月,我县空气质量自动监测站共发布环境空气质量日报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31</w:t>
      </w:r>
      <w:r>
        <w:rPr>
          <w:rFonts w:hint="eastAsia" w:ascii="仿宋_GB2312" w:hAnsi="华文楷体" w:eastAsia="仿宋_GB2312"/>
          <w:sz w:val="28"/>
          <w:szCs w:val="28"/>
        </w:rPr>
        <w:t>天，空气质量指数在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华文楷体" w:eastAsia="仿宋_GB2312"/>
          <w:sz w:val="28"/>
          <w:szCs w:val="28"/>
        </w:rPr>
        <w:t>～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41</w:t>
      </w:r>
      <w:r>
        <w:rPr>
          <w:rFonts w:hint="eastAsia" w:ascii="仿宋_GB2312" w:hAnsi="华文楷体" w:eastAsia="仿宋_GB2312"/>
          <w:sz w:val="28"/>
          <w:szCs w:val="28"/>
        </w:rPr>
        <w:t>之间，优良天数比例为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100</w:t>
      </w:r>
      <w:r>
        <w:rPr>
          <w:rFonts w:hint="eastAsia" w:ascii="仿宋_GB2312" w:hAnsi="华文楷体" w:eastAsia="仿宋_GB2312"/>
          <w:sz w:val="28"/>
          <w:szCs w:val="28"/>
        </w:rPr>
        <w:t>%</w:t>
      </w:r>
      <w:bookmarkStart w:id="8" w:name="OLE_LINK4"/>
      <w:r>
        <w:rPr>
          <w:rFonts w:hint="eastAsia" w:ascii="仿宋_GB2312" w:hAnsi="华文楷体" w:eastAsia="仿宋_GB2312"/>
          <w:sz w:val="28"/>
          <w:szCs w:val="28"/>
        </w:rPr>
        <w:t>。</w:t>
      </w:r>
      <w:bookmarkEnd w:id="3"/>
      <w:bookmarkEnd w:id="8"/>
      <w:bookmarkStart w:id="9" w:name="OLE_LINK9"/>
      <w:bookmarkStart w:id="10" w:name="OLE_LINK6"/>
    </w:p>
    <w:bookmarkEnd w:id="9"/>
    <w:bookmarkEnd w:id="1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right="560" w:firstLine="560"/>
        <w:jc w:val="center"/>
        <w:textAlignment w:val="auto"/>
        <w:outlineLvl w:val="9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  <w:lang w:val="en-US" w:eastAsia="zh-CN"/>
        </w:rPr>
        <w:t>7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</w:rPr>
        <w:t>月空气质量日报统计表</w:t>
      </w:r>
    </w:p>
    <w:tbl>
      <w:tblPr>
        <w:tblStyle w:val="2"/>
        <w:tblW w:w="913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655"/>
        <w:gridCol w:w="2504"/>
        <w:gridCol w:w="195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trHeight w:val="373" w:hRule="atLeast"/>
          <w:jc w:val="center"/>
        </w:trPr>
        <w:tc>
          <w:tcPr>
            <w:tcW w:w="4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50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出现天数（天）</w:t>
            </w:r>
          </w:p>
        </w:tc>
        <w:tc>
          <w:tcPr>
            <w:tcW w:w="195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所占百分比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质量状况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空气质量指数(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AQI</w:t>
            </w: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)范围</w:t>
            </w:r>
          </w:p>
        </w:tc>
        <w:tc>
          <w:tcPr>
            <w:tcW w:w="2504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hAnsi="华文楷体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trHeight w:val="390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</w:rPr>
              <w:t>优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0～50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楷体" w:eastAsia="仿宋_GB2312" w:cs="宋体"/>
                <w:bCs/>
                <w:color w:val="000000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</w:tbl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hint="eastAsia" w:ascii="仿宋_GB2312" w:hAnsi="华文楷体" w:eastAsia="仿宋_GB2312"/>
          <w:b/>
          <w:spacing w:val="38"/>
          <w:sz w:val="36"/>
          <w:szCs w:val="36"/>
        </w:rPr>
      </w:pPr>
    </w:p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hint="eastAsia" w:ascii="仿宋_GB2312" w:hAnsi="华文楷体" w:eastAsia="仿宋_GB2312"/>
          <w:b/>
          <w:spacing w:val="38"/>
          <w:sz w:val="36"/>
          <w:szCs w:val="36"/>
        </w:rPr>
      </w:pPr>
    </w:p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hint="eastAsia" w:ascii="仿宋_GB2312" w:hAnsi="华文楷体" w:eastAsia="仿宋_GB2312"/>
          <w:b/>
          <w:spacing w:val="38"/>
          <w:sz w:val="36"/>
          <w:szCs w:val="36"/>
        </w:rPr>
      </w:pPr>
    </w:p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pacing w:val="38"/>
          <w:sz w:val="36"/>
          <w:szCs w:val="36"/>
        </w:rPr>
        <w:t>二、水环境质量</w:t>
      </w:r>
      <w:r>
        <w:rPr>
          <w:rFonts w:hint="eastAsia" w:ascii="仿宋_GB2312" w:hAnsi="华文楷体" w:eastAsia="仿宋_GB2312"/>
          <w:b/>
          <w:sz w:val="30"/>
          <w:szCs w:val="30"/>
        </w:rPr>
        <w:t>　</w:t>
      </w:r>
    </w:p>
    <w:p>
      <w:pPr>
        <w:spacing w:before="156" w:beforeLines="50" w:after="156" w:afterLines="50" w:line="400" w:lineRule="exact"/>
        <w:ind w:firstLine="602" w:firstLineChars="200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1、饮用水源水质状况</w:t>
      </w:r>
    </w:p>
    <w:p>
      <w:pPr>
        <w:spacing w:before="156" w:beforeLines="50" w:after="156" w:afterLines="50" w:line="400" w:lineRule="exact"/>
        <w:ind w:firstLine="560" w:firstLineChars="200"/>
        <w:rPr>
          <w:rFonts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华文楷体" w:eastAsia="仿宋_GB2312"/>
          <w:sz w:val="28"/>
          <w:szCs w:val="28"/>
        </w:rPr>
        <w:t>我县设饮用水监测断面一个即白云湖断面，所测指标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32</w:t>
      </w:r>
      <w:r>
        <w:rPr>
          <w:rFonts w:hint="eastAsia" w:ascii="仿宋_GB2312" w:hAnsi="华文楷体" w:eastAsia="仿宋_GB2312"/>
          <w:sz w:val="28"/>
          <w:szCs w:val="28"/>
        </w:rPr>
        <w:t>项。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华文楷体" w:eastAsia="仿宋_GB2312"/>
          <w:sz w:val="28"/>
          <w:szCs w:val="28"/>
        </w:rPr>
        <w:t>月，白云湖断面水质达到《地表水环境质量标准》</w:t>
      </w:r>
      <w:r>
        <w:rPr>
          <w:rFonts w:hint="eastAsia" w:ascii="仿宋" w:hAnsi="仿宋" w:eastAsia="仿宋" w:cs="仿宋"/>
          <w:sz w:val="28"/>
          <w:szCs w:val="28"/>
        </w:rPr>
        <w:t>Ⅱ</w:t>
      </w:r>
      <w:r>
        <w:rPr>
          <w:rFonts w:hint="eastAsia" w:ascii="仿宋" w:hAnsi="仿宋" w:eastAsia="仿宋" w:cs="仿宋"/>
          <w:sz w:val="28"/>
          <w:szCs w:val="28"/>
        </w:rPr>
        <w:t>类</w:t>
      </w:r>
      <w:r>
        <w:rPr>
          <w:rFonts w:hint="eastAsia" w:ascii="仿宋_GB2312" w:hAnsi="华文楷体" w:eastAsia="仿宋_GB2312"/>
          <w:sz w:val="28"/>
          <w:szCs w:val="28"/>
        </w:rPr>
        <w:t>标准。</w:t>
      </w:r>
    </w:p>
    <w:p>
      <w:pPr>
        <w:widowControl/>
        <w:snapToGrid w:val="0"/>
        <w:spacing w:before="156" w:beforeLines="50" w:after="156" w:afterLines="50" w:line="600" w:lineRule="exact"/>
        <w:ind w:firstLine="1325" w:firstLineChars="550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  <w:lang w:val="en-US" w:eastAsia="zh-CN"/>
        </w:rPr>
        <w:t>7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月饮用水源水质与去年同期水质比较</w:t>
      </w:r>
    </w:p>
    <w:tbl>
      <w:tblPr>
        <w:tblStyle w:val="2"/>
        <w:tblpPr w:leftFromText="180" w:rightFromText="180" w:vertAnchor="text" w:horzAnchor="margin" w:tblpXSpec="center" w:tblpY="102"/>
        <w:tblW w:w="88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206"/>
        <w:gridCol w:w="1199"/>
        <w:gridCol w:w="1507"/>
        <w:gridCol w:w="1169"/>
        <w:gridCol w:w="143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1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河流名称</w:t>
            </w:r>
          </w:p>
        </w:tc>
        <w:tc>
          <w:tcPr>
            <w:tcW w:w="220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断面名称</w:t>
            </w:r>
          </w:p>
        </w:tc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水功能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区目标</w:t>
            </w:r>
          </w:p>
        </w:tc>
        <w:tc>
          <w:tcPr>
            <w:tcW w:w="1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超标项目</w:t>
            </w:r>
          </w:p>
        </w:tc>
        <w:tc>
          <w:tcPr>
            <w:tcW w:w="116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本月水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质类别</w:t>
            </w:r>
          </w:p>
        </w:tc>
        <w:tc>
          <w:tcPr>
            <w:tcW w:w="143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去年同期水质类别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bookmarkStart w:id="11" w:name="OLE_LINK22" w:colFirst="4" w:colLast="5"/>
            <w:r>
              <w:rPr>
                <w:rFonts w:hint="eastAsia" w:ascii="仿宋_GB2312" w:hAnsi="华文楷体" w:eastAsia="仿宋_GB2312"/>
                <w:szCs w:val="21"/>
              </w:rPr>
              <w:t>沅江巫水</w:t>
            </w:r>
          </w:p>
        </w:tc>
        <w:tc>
          <w:tcPr>
            <w:tcW w:w="220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白云湖断面</w:t>
            </w:r>
          </w:p>
        </w:tc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16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shd w:val="clear" w:color="auto" w:fill="FFFFFF"/>
              <w:spacing w:before="120" w:after="120" w:line="4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  <w:bookmarkEnd w:id="11"/>
    </w:tbl>
    <w:p>
      <w:pPr>
        <w:spacing w:before="156" w:beforeLines="50" w:after="156" w:afterLines="50" w:line="420" w:lineRule="exact"/>
        <w:ind w:firstLine="151" w:firstLineChars="50"/>
        <w:outlineLvl w:val="0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　2、主要河流水质状况</w:t>
      </w:r>
    </w:p>
    <w:p>
      <w:pPr>
        <w:widowControl/>
        <w:shd w:val="clear" w:color="auto" w:fill="FFFFFF"/>
        <w:spacing w:before="120" w:after="120" w:line="360" w:lineRule="atLeast"/>
        <w:ind w:right="-176" w:firstLine="551"/>
        <w:jc w:val="lef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我县设地表水监测断面2个：沅江巫水河两河口断面和花园阁断面，所</w:t>
      </w:r>
      <w:bookmarkStart w:id="12" w:name="OLE_LINK15"/>
      <w:bookmarkStart w:id="13" w:name="OLE_LINK12"/>
      <w:bookmarkStart w:id="14" w:name="OLE_LINK11"/>
      <w:r>
        <w:rPr>
          <w:rFonts w:hint="eastAsia" w:ascii="仿宋_GB2312" w:hAnsi="华文楷体" w:eastAsia="仿宋_GB2312"/>
          <w:sz w:val="28"/>
          <w:szCs w:val="28"/>
        </w:rPr>
        <w:t>测指标2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华文楷体" w:eastAsia="仿宋_GB2312"/>
          <w:sz w:val="28"/>
          <w:szCs w:val="28"/>
        </w:rPr>
        <w:t>项，</w:t>
      </w:r>
      <w:bookmarkEnd w:id="12"/>
      <w:bookmarkEnd w:id="13"/>
      <w:bookmarkStart w:id="15" w:name="OLE_LINK14"/>
      <w:r>
        <w:rPr>
          <w:rFonts w:hint="eastAsia" w:ascii="仿宋_GB2312" w:hAnsi="华文楷体" w:eastAsia="仿宋_GB2312"/>
          <w:sz w:val="28"/>
          <w:szCs w:val="28"/>
          <w:lang w:eastAsia="zh-CN"/>
        </w:rPr>
        <w:t>两河口断面</w:t>
      </w:r>
      <w:r>
        <w:rPr>
          <w:rFonts w:hint="eastAsia" w:ascii="仿宋_GB2312" w:hAnsi="华文楷体" w:eastAsia="仿宋_GB2312"/>
          <w:sz w:val="28"/>
          <w:szCs w:val="28"/>
        </w:rPr>
        <w:t>达到《地表水环境质量标准》</w:t>
      </w:r>
      <w:r>
        <w:rPr>
          <w:rFonts w:hint="eastAsia" w:ascii="仿宋" w:hAnsi="仿宋" w:eastAsia="仿宋" w:cs="仿宋"/>
          <w:sz w:val="28"/>
          <w:szCs w:val="28"/>
        </w:rPr>
        <w:t>Ⅱ</w:t>
      </w:r>
      <w:r>
        <w:rPr>
          <w:rFonts w:hint="eastAsia" w:ascii="仿宋_GB2312" w:hAnsi="华文楷体" w:eastAsia="仿宋_GB2312"/>
          <w:sz w:val="28"/>
          <w:szCs w:val="28"/>
        </w:rPr>
        <w:t>类水质标准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，花园阁断面达到</w:t>
      </w:r>
      <w:r>
        <w:rPr>
          <w:rFonts w:hint="eastAsia" w:ascii="仿宋_GB2312" w:hAnsi="华文楷体" w:eastAsia="仿宋_GB2312"/>
          <w:sz w:val="28"/>
          <w:szCs w:val="28"/>
        </w:rPr>
        <w:t>《地表水环境质量标准》</w:t>
      </w:r>
      <w:r>
        <w:rPr>
          <w:rFonts w:hint="eastAsia" w:ascii="宋体" w:hAnsi="宋体" w:eastAsia="宋体" w:cs="宋体"/>
          <w:sz w:val="28"/>
          <w:szCs w:val="28"/>
        </w:rPr>
        <w:t>Ⅰ</w:t>
      </w:r>
      <w:r>
        <w:rPr>
          <w:rFonts w:hint="eastAsia" w:ascii="仿宋_GB2312" w:hAnsi="华文楷体" w:eastAsia="仿宋_GB2312"/>
          <w:sz w:val="28"/>
          <w:szCs w:val="28"/>
        </w:rPr>
        <w:t>类水质标准。</w:t>
      </w:r>
    </w:p>
    <w:bookmarkEnd w:id="14"/>
    <w:bookmarkEnd w:id="15"/>
    <w:p>
      <w:pPr>
        <w:widowControl/>
        <w:snapToGrid w:val="0"/>
        <w:spacing w:before="156" w:beforeLines="50" w:after="156" w:afterLines="50" w:line="400" w:lineRule="exact"/>
        <w:ind w:firstLine="1446" w:firstLineChars="600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  <w:lang w:val="en-US" w:eastAsia="zh-CN"/>
        </w:rPr>
        <w:t>7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月主要河流水质与去年同期比较</w:t>
      </w:r>
    </w:p>
    <w:tbl>
      <w:tblPr>
        <w:tblStyle w:val="2"/>
        <w:tblpPr w:leftFromText="180" w:rightFromText="180" w:vertAnchor="text" w:horzAnchor="margin" w:tblpXSpec="center" w:tblpY="102"/>
        <w:tblW w:w="849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184"/>
        <w:gridCol w:w="1922"/>
        <w:gridCol w:w="1045"/>
        <w:gridCol w:w="1314"/>
        <w:gridCol w:w="1019"/>
        <w:gridCol w:w="125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河流名称</w:t>
            </w:r>
          </w:p>
        </w:tc>
        <w:tc>
          <w:tcPr>
            <w:tcW w:w="19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断面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名称</w:t>
            </w:r>
          </w:p>
        </w:tc>
        <w:tc>
          <w:tcPr>
            <w:tcW w:w="104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水功能区目标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超标项目</w:t>
            </w:r>
          </w:p>
        </w:tc>
        <w:tc>
          <w:tcPr>
            <w:tcW w:w="10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本年水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质类别</w:t>
            </w:r>
          </w:p>
        </w:tc>
        <w:tc>
          <w:tcPr>
            <w:tcW w:w="125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去年同期水质类别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干流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支流</w:t>
            </w:r>
          </w:p>
        </w:tc>
        <w:tc>
          <w:tcPr>
            <w:tcW w:w="1922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045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01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沅江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巫水</w:t>
            </w:r>
          </w:p>
        </w:tc>
        <w:tc>
          <w:tcPr>
            <w:tcW w:w="19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两河口断面</w:t>
            </w:r>
          </w:p>
        </w:tc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31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shd w:val="clear" w:color="auto" w:fill="FFFFFF"/>
              <w:spacing w:before="120" w:after="120" w:line="4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沅江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巫水</w:t>
            </w:r>
          </w:p>
        </w:tc>
        <w:tc>
          <w:tcPr>
            <w:tcW w:w="19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花园阁断面</w:t>
            </w:r>
          </w:p>
        </w:tc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31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Ⅰ</w:t>
            </w:r>
          </w:p>
        </w:tc>
        <w:tc>
          <w:tcPr>
            <w:tcW w:w="1256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</w:tbl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  <w:bookmarkStart w:id="16" w:name="_GoBack"/>
      <w:bookmarkEnd w:id="16"/>
    </w:p>
    <w:p>
      <w:pPr>
        <w:widowControl/>
        <w:shd w:val="clear" w:color="auto" w:fill="FFFFFF"/>
        <w:spacing w:before="120" w:after="120" w:line="4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  <w:t>附  录</w:t>
      </w:r>
    </w:p>
    <w:p>
      <w:pPr>
        <w:widowControl/>
        <w:shd w:val="clear" w:color="auto" w:fill="FFFFFF"/>
        <w:spacing w:line="4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>1、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城市环境空气质量定性评价</w:t>
      </w:r>
    </w:p>
    <w:tbl>
      <w:tblPr>
        <w:tblStyle w:val="2"/>
        <w:tblW w:w="10003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918"/>
        <w:gridCol w:w="1212"/>
        <w:gridCol w:w="972"/>
        <w:gridCol w:w="2689"/>
        <w:gridCol w:w="2678"/>
      </w:tblGrid>
      <w:tr>
        <w:tblPrEx>
          <w:shd w:val="clear" w:color="auto" w:fill="FFFFFF"/>
        </w:tblPrEx>
        <w:trPr>
          <w:trHeight w:val="567" w:hRule="atLeast"/>
          <w:jc w:val="center"/>
        </w:trPr>
        <w:tc>
          <w:tcPr>
            <w:tcW w:w="153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空气质量指数AQI</w:t>
            </w:r>
          </w:p>
        </w:tc>
        <w:tc>
          <w:tcPr>
            <w:tcW w:w="918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空气质量级别</w:t>
            </w:r>
          </w:p>
        </w:tc>
        <w:tc>
          <w:tcPr>
            <w:tcW w:w="1212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质量状况</w:t>
            </w:r>
          </w:p>
        </w:tc>
        <w:tc>
          <w:tcPr>
            <w:tcW w:w="972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表征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颜色</w:t>
            </w:r>
          </w:p>
        </w:tc>
        <w:tc>
          <w:tcPr>
            <w:tcW w:w="2689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对健康的影响</w:t>
            </w:r>
          </w:p>
        </w:tc>
        <w:tc>
          <w:tcPr>
            <w:tcW w:w="2678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建议采取的措施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0～50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优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绿色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空气质量令人满意，基本无空气污染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各类人群可正常活动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51～100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良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黄色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空气质量可接受，但某些污染物可能对极少数异常敏感人群健康有较弱影响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较少数异常敏感人群应减少户外活动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101～150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三级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轻微污染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橙色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敏感人群症状有轻度加剧，健康人群出现刺激症状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儿童、老年人及心脏病、呼吸系统疾病患者应减少长时间、高强度户外锻炼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151～200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四级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中度污染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红色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进一步加剧易感人群症状，可能对健康人群心脏、呼吸系统有影响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儿童、老年人及心脏病、呼吸系统疾病患者避免长时间、高强度户外锻炼，一般人群适量减少户外运动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201～300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五级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重度污染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紫色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心脏病和肺病患者症状显著加剧，运动耐受力降低，健康人群普遍出现症状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儿童、老年人和心脏病、肺病患者应停留在室内，停止户外运动，一般人群减少户外运动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＞300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六级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严重污染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褐红色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健康人群运动耐受力降低，有明显强烈症状，提前出现某些疾病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儿童、老年人及病人应当留在室内，避免体力消耗，一般人群应避免户外运动</w:t>
            </w:r>
          </w:p>
        </w:tc>
      </w:tr>
    </w:tbl>
    <w:p>
      <w:pPr>
        <w:widowControl/>
        <w:shd w:val="clear" w:color="auto" w:fill="FFFFFF"/>
        <w:spacing w:before="72" w:after="72" w:line="5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2、水质评价项目及标准</w:t>
      </w:r>
    </w:p>
    <w:p>
      <w:pPr>
        <w:widowControl/>
        <w:shd w:val="clear" w:color="auto" w:fill="FFFFFF"/>
        <w:tabs>
          <w:tab w:val="left" w:pos="3081"/>
        </w:tabs>
        <w:spacing w:line="520" w:lineRule="atLeast"/>
        <w:ind w:firstLine="560"/>
        <w:jc w:val="left"/>
        <w:rPr>
          <w:rFonts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(1)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评价项目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ab/>
      </w:r>
    </w:p>
    <w:p>
      <w:pPr>
        <w:widowControl/>
        <w:shd w:val="clear" w:color="auto" w:fill="FFFFFF"/>
        <w:tabs>
          <w:tab w:val="left" w:pos="3081"/>
        </w:tabs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河流型地表水水质评价：《地表水环境质量标准》(GB3838-2002)表1所列除水温、总氮和粪大肠菌群以外的其他21项指标，粪大肠菌群单独评价。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饮用水水源地水质评价：依据《全国集中式生活饮用水水源地水质监测实施方案》（环办函[2012]1266号）的要求，集中式生活饮用水水源地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监测项目为《地表水环境质量标准》（GB3838-2002）表1的基本项目（23项，化学需氧量除外）、表2的补充项目（5项）和表3的优选特定项目（33项），共61项。评价项目为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《地表水环境质量标准》(GB3838-2002)表1和表2所列除水温、总氮和粪大肠菌群以外的其他指标，表3的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优选特定项目（33项），共58项。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湖泊评价：湖泊评价项目为《地表水环境质量标准》(GB3838-2002)表1除水温、总氮和粪大肠菌群以外的其他21项指标，另外用总磷、总氮、叶绿素a、高锰酸盐指数和透明度5项指标，用于评价营养状态。总氮和粪大肠菌群单独评价。</w:t>
      </w:r>
    </w:p>
    <w:p>
      <w:pPr>
        <w:widowControl/>
        <w:shd w:val="clear" w:color="auto" w:fill="FFFFFF"/>
        <w:spacing w:line="520" w:lineRule="atLeast"/>
        <w:ind w:firstLine="554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 (2)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评价标准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从2012年6月开始，地表水水质评价不再执行《地表水环境质量标准（GB3838-2002）》中相应功能区标准，而按Ⅰ类～劣Ⅴ类六个类别进行评价。当断面水质超过Ⅲ类标准时，应计算指标浓度超过Ⅲ类水质标准的倍数，即超标倍数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饮用水水源地水质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根据《地表水环境质量标准》（GB3838-2002）进行评价。基本项目按照《地表水环境质量评价方法（试行）》（环办[2011]22号）进行评价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补充项目、特定项目采用单因子评价法进行评价。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72" w:after="72" w:line="5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3、水环境质量定性评价方法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(1) 地表水环境质量定性评价方法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地表水环境质量分为：优、良好、轻度污染、中度污染、重度污染五个等级。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断面、河段水质类别与水质定性评价分级的对应关系见附表1。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line="520" w:lineRule="atLeast"/>
        <w:jc w:val="center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附表1  断面、河段水质定性评价</w:t>
      </w:r>
    </w:p>
    <w:tbl>
      <w:tblPr>
        <w:tblStyle w:val="2"/>
        <w:tblW w:w="758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1237"/>
        <w:gridCol w:w="4727"/>
      </w:tblGrid>
      <w:tr>
        <w:tblPrEx>
          <w:shd w:val="clear" w:color="auto" w:fill="FFFFFF"/>
        </w:tblPrEx>
        <w:trPr>
          <w:jc w:val="center"/>
        </w:trPr>
        <w:tc>
          <w:tcPr>
            <w:tcW w:w="1618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水质类别</w:t>
            </w:r>
          </w:p>
        </w:tc>
        <w:tc>
          <w:tcPr>
            <w:tcW w:w="123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水质状况</w:t>
            </w:r>
          </w:p>
        </w:tc>
        <w:tc>
          <w:tcPr>
            <w:tcW w:w="472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水质功能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Ⅰ、Ⅱ类水质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优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饮用水源一级保护区、珍稀水生生物栖息地、鱼虾类产卵场、仔稚幼鱼的索饵场等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Ⅲ类水质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良好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饮用水源二级保护区、鱼虾类越冬场、洄游通道、水产养殖区、游泳区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Ⅳ类水质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轻度污染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一般工业用水和人体非直接接触的娱乐用水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Ⅴ类水质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农业用水及一般景观用水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劣Ⅴ类水质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重度污染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除调节局部气候外，几乎无使用功能</w:t>
            </w:r>
          </w:p>
        </w:tc>
      </w:tr>
    </w:tbl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河流、水系水质类别比例与水质定性评价分级的对应关系见附表2。对于断面数少于5个的河流、水系，按附表1直接指出每个断面的水质状况。</w:t>
      </w:r>
    </w:p>
    <w:p>
      <w:pPr>
        <w:widowControl/>
        <w:shd w:val="clear" w:color="auto" w:fill="FFFFFF"/>
        <w:spacing w:line="520" w:lineRule="atLeast"/>
        <w:ind w:firstLine="48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line="540" w:lineRule="atLeast"/>
        <w:jc w:val="center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附表2  河流、水系水质定性评价</w:t>
      </w:r>
    </w:p>
    <w:tbl>
      <w:tblPr>
        <w:tblStyle w:val="2"/>
        <w:tblW w:w="7337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3"/>
        <w:gridCol w:w="134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水质类别比例</w:t>
            </w:r>
          </w:p>
        </w:tc>
        <w:tc>
          <w:tcPr>
            <w:tcW w:w="1344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水质状况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Ⅰ～Ⅲ类水质比例≥90%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75%≤Ⅰ～Ⅲ类水质比例＜90%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良好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Ⅰ～Ⅲ类水质比例＜75%，且劣Ⅴ类比例＜20%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轻度污染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Ⅰ～Ⅲ类水质比例＜75%，且20%≤劣Ⅴ类比例＜40%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中度污染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Ⅰ～Ⅲ类水质比例＜60%，且劣Ⅴ类比例≥40%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重度污染</w:t>
            </w:r>
          </w:p>
        </w:tc>
      </w:tr>
    </w:tbl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地表水环境质量定性评价方法执行中国环境监测总站（总站综字[2004]72号）文件。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 (2) 湖泊、水库富营养化评价方法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根据营养状态指数（TLI）的计算结果对湖泊营养状态进行分级如下：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TLI（Σ）＜30贫营养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30≤TLI（Σ）≤50中营养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TLI（Σ）＞50富营养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50＜TLI（Σ）≤60轻度富营养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60＜TLI（Σ）≤70中度富营养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TLI（Σ）＞70重度富营养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营养状态指数的计算方法见中国环境监测总站（总站生字[2001]090号）文件。</w:t>
      </w: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编　　写：戴菲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审　　核：何豪　　　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签　　发：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eastAsia="zh-CN"/>
        </w:rPr>
        <w:t>陈春霞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>　　　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编写日期：20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08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月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YzZDNjZjc2NTMzM2Q1ZDlmMTA0NWE5OWIzZDIifQ=="/>
  </w:docVars>
  <w:rsids>
    <w:rsidRoot w:val="61053D98"/>
    <w:rsid w:val="6105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2022-09-29T03:21:00Z</dcterms:created>
  <dc:creator>戴菲</dc:creator>
  <cp:lastModifiedBy>戴菲</cp:lastModifiedBy>
  <dcterms:modified xsi:type="dcterms:W3CDTF">2022-09-29T03:30:20Z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9BD4A0960B6143C8968347AAF780F8B1</vt:lpwstr>
  </property>
</Properties>
</file>