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03FD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2" w:leftChars="-100" w:right="0" w:hanging="318" w:hangingChars="72"/>
        <w:jc w:val="center"/>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宋体" w:hAnsi="宋体" w:eastAsia="宋体" w:cs="宋体"/>
          <w:b/>
          <w:bCs/>
          <w:i w:val="0"/>
          <w:iCs w:val="0"/>
          <w:caps w:val="0"/>
          <w:color w:val="000000"/>
          <w:spacing w:val="0"/>
          <w:kern w:val="0"/>
          <w:sz w:val="44"/>
          <w:szCs w:val="44"/>
          <w:lang w:val="en-US" w:eastAsia="zh-CN" w:bidi="ar"/>
        </w:rPr>
        <w:t>县信访局2025年政府信息公开工作年度报告  </w:t>
      </w:r>
    </w:p>
    <w:p w14:paraId="5966D56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xml:space="preserve"> 根据《中华人民共</w:t>
      </w:r>
      <w:bookmarkStart w:id="0" w:name="_GoBack"/>
      <w:bookmarkEnd w:id="0"/>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和国政府信息公开条例》（国务院令711号，以下简称《条例》）的规定和《国务院办公厅政府信息与政务公开办公室关于印发&lt;中华人民共和国政府信息公开工作年度报告格式&gt;的通知》（国办公开办函﹝2021﹞30号）等文件要求，编制城步苗族自治县信访局2025年政府信息公开工作年度报告。</w:t>
      </w:r>
    </w:p>
    <w:p w14:paraId="5A6B522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xml:space="preserve">本年度报告中所列数据统计期限从2025年1月1日至2025年12月31日止。如对本年度报告有疑问，请与城步苗族自治县信访局联系（电话：0739-7361232）。 </w:t>
      </w:r>
    </w:p>
    <w:p w14:paraId="4344226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 xml:space="preserve">总体情况 </w:t>
      </w:r>
    </w:p>
    <w:p w14:paraId="0A41DD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right="0" w:rightChars="0" w:firstLine="640" w:firstLineChars="200"/>
        <w:jc w:val="both"/>
        <w:rPr>
          <w:rFonts w:hint="default"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2025年，城步苗族自治县信访局坚持以习近平新时代中国特色社会主义思想为指导，认真贯彻落实《条例》，按照县委、县政府统一部署，紧密结合信访工作实际，认真做好政府信息公开各项工作。及时公开内设机构设置、职能设置、领导信息、工作动态等具体行政行为情况及其他应主动公开的信息。依托政务网、城步信访微信公众号等平台，发散式、多渠道发布政务信息。</w:t>
      </w:r>
    </w:p>
    <w:p w14:paraId="161D39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right="0" w:rightChars="0" w:firstLine="643" w:firstLineChars="200"/>
        <w:jc w:val="both"/>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b/>
          <w:bCs/>
          <w:i w:val="0"/>
          <w:iCs w:val="0"/>
          <w:caps w:val="0"/>
          <w:color w:val="000000"/>
          <w:spacing w:val="0"/>
          <w:kern w:val="0"/>
          <w:sz w:val="32"/>
          <w:szCs w:val="32"/>
          <w:lang w:val="en-US" w:eastAsia="zh-CN" w:bidi="ar"/>
        </w:rPr>
        <w:t xml:space="preserve">（一）主动公开方面 </w:t>
      </w:r>
    </w:p>
    <w:p w14:paraId="2837C40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right="0" w:rightChars="0" w:firstLine="640" w:firstLineChars="200"/>
        <w:jc w:val="both"/>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2025年度，我局对照《条例》和国、省、市年度政务公开工作要点，切实加强主动公开，更新发布了职能配置、领导信息、工作动态、财政预决算等政府信息，在县政府网站集约化平台共发布政府信息13条。</w:t>
      </w:r>
    </w:p>
    <w:p w14:paraId="7D08D1C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800" w:leftChars="0" w:right="0" w:rightChars="0" w:firstLine="0" w:firstLineChars="0"/>
        <w:jc w:val="both"/>
        <w:rPr>
          <w:rFonts w:hint="eastAsia" w:ascii="方正仿宋_GB2312" w:hAnsi="方正仿宋_GB2312" w:eastAsia="方正仿宋_GB2312" w:cs="方正仿宋_GB2312"/>
          <w:b/>
          <w:bCs/>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b/>
          <w:bCs/>
          <w:i w:val="0"/>
          <w:iCs w:val="0"/>
          <w:caps w:val="0"/>
          <w:color w:val="000000"/>
          <w:spacing w:val="0"/>
          <w:kern w:val="0"/>
          <w:sz w:val="32"/>
          <w:szCs w:val="32"/>
          <w:lang w:val="en-US" w:eastAsia="zh-CN" w:bidi="ar"/>
        </w:rPr>
        <w:t xml:space="preserve">依申请公开方面 </w:t>
      </w:r>
    </w:p>
    <w:p w14:paraId="393188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right="0" w:rightChars="0" w:firstLine="640" w:firstLineChars="200"/>
        <w:jc w:val="both"/>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xml:space="preserve">认真落实《条例》对依申请公开办理的相关要求，确保全部政府信息公开申请按法定程序、法定时限规范答复。2025年我局没有收到依申请公开件，上年度结转办理件0件。 </w:t>
      </w:r>
    </w:p>
    <w:p w14:paraId="381A5CC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800" w:leftChars="0" w:right="0" w:rightChars="0" w:firstLine="0" w:firstLineChars="0"/>
        <w:jc w:val="both"/>
        <w:rPr>
          <w:rFonts w:hint="eastAsia" w:ascii="方正仿宋_GB2312" w:hAnsi="方正仿宋_GB2312" w:eastAsia="方正仿宋_GB2312" w:cs="方正仿宋_GB2312"/>
          <w:b/>
          <w:bCs/>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b/>
          <w:bCs/>
          <w:i w:val="0"/>
          <w:iCs w:val="0"/>
          <w:caps w:val="0"/>
          <w:color w:val="000000"/>
          <w:spacing w:val="0"/>
          <w:kern w:val="0"/>
          <w:sz w:val="32"/>
          <w:szCs w:val="32"/>
          <w:lang w:val="en-US" w:eastAsia="zh-CN" w:bidi="ar"/>
        </w:rPr>
        <w:t xml:space="preserve">回应群众关切方面 </w:t>
      </w:r>
    </w:p>
    <w:p w14:paraId="43B76D7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right="0" w:rightChars="0" w:firstLine="640" w:firstLineChars="200"/>
        <w:jc w:val="both"/>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xml:space="preserve">积极回应群众关切。2025年，12345热线等没有接到关于信访方面的群众来访来电。收到市长信箱转办群众来信1件，咨询内容非本单位信访业务工作范畴。我单位及时予以回应，按时答复到位。 </w:t>
      </w:r>
    </w:p>
    <w:p w14:paraId="1843165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800" w:leftChars="0" w:right="0" w:rightChars="0" w:firstLine="0" w:firstLineChars="0"/>
        <w:jc w:val="both"/>
        <w:rPr>
          <w:rFonts w:hint="eastAsia" w:ascii="方正仿宋_GB2312" w:hAnsi="方正仿宋_GB2312" w:eastAsia="方正仿宋_GB2312" w:cs="方正仿宋_GB2312"/>
          <w:b/>
          <w:bCs/>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b/>
          <w:bCs/>
          <w:i w:val="0"/>
          <w:iCs w:val="0"/>
          <w:caps w:val="0"/>
          <w:color w:val="000000"/>
          <w:spacing w:val="0"/>
          <w:kern w:val="0"/>
          <w:sz w:val="32"/>
          <w:szCs w:val="32"/>
          <w:lang w:val="en-US" w:eastAsia="zh-CN" w:bidi="ar"/>
        </w:rPr>
        <w:t xml:space="preserve">政府信息管理方面 </w:t>
      </w:r>
    </w:p>
    <w:p w14:paraId="74B9A7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right="0" w:rightChars="0" w:firstLine="640" w:firstLineChars="200"/>
        <w:jc w:val="both"/>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加强信访法律法规宣传，在政府门户网站集中统一公开《信访工作条例》、《卫生信访工作办法》等规范性文件，方便群众查询。加强信访事项办理公示，依托县人民政府门户网找“阳光信访”平台，及时更新涉及民生、群众关切的信访事项办理结果。</w:t>
      </w:r>
    </w:p>
    <w:p w14:paraId="009DD54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800" w:leftChars="0" w:right="0" w:rightChars="0" w:firstLine="0" w:firstLineChars="0"/>
        <w:jc w:val="both"/>
        <w:rPr>
          <w:rFonts w:hint="eastAsia" w:ascii="方正仿宋_GB2312" w:hAnsi="方正仿宋_GB2312" w:eastAsia="方正仿宋_GB2312" w:cs="方正仿宋_GB2312"/>
          <w:b/>
          <w:bCs/>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b/>
          <w:bCs/>
          <w:i w:val="0"/>
          <w:iCs w:val="0"/>
          <w:caps w:val="0"/>
          <w:color w:val="000000"/>
          <w:spacing w:val="0"/>
          <w:kern w:val="0"/>
          <w:sz w:val="32"/>
          <w:szCs w:val="32"/>
          <w:lang w:val="en-US" w:eastAsia="zh-CN" w:bidi="ar"/>
        </w:rPr>
        <w:t xml:space="preserve">平台建设方面 </w:t>
      </w:r>
    </w:p>
    <w:p w14:paraId="4170B4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right="0" w:rightChars="0" w:firstLine="640" w:firstLineChars="200"/>
        <w:jc w:val="both"/>
        <w:rPr>
          <w:rFonts w:hint="default"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充分发挥政府网站第一公开平台作用，规范建设政府信息公开专栏，加强法定主动公开内容的集中发布。积极运用政府网站集约化试点成果，对政府信息汇聚、整合、共享、共用，增强智能化服务水平。加强“城步信访微信公众号”动态更新，严格把关发布内容。</w:t>
      </w:r>
    </w:p>
    <w:p w14:paraId="57329EE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800" w:leftChars="0" w:right="0" w:rightChars="0" w:firstLine="0" w:firstLineChars="0"/>
        <w:jc w:val="both"/>
        <w:rPr>
          <w:rFonts w:hint="eastAsia" w:ascii="方正仿宋_GB2312" w:hAnsi="方正仿宋_GB2312" w:eastAsia="方正仿宋_GB2312" w:cs="方正仿宋_GB2312"/>
          <w:b/>
          <w:bCs/>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b/>
          <w:bCs/>
          <w:i w:val="0"/>
          <w:iCs w:val="0"/>
          <w:caps w:val="0"/>
          <w:color w:val="000000"/>
          <w:spacing w:val="0"/>
          <w:kern w:val="0"/>
          <w:sz w:val="32"/>
          <w:szCs w:val="32"/>
          <w:lang w:val="en-US" w:eastAsia="zh-CN" w:bidi="ar"/>
        </w:rPr>
        <w:t xml:space="preserve">监督保障方面 </w:t>
      </w:r>
    </w:p>
    <w:p w14:paraId="4EA402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right="0" w:rightChars="0" w:firstLine="640" w:firstLineChars="200"/>
        <w:jc w:val="both"/>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 xml:space="preserve">把政务公开工作纳入绩效考核，定期对政府网站情况进行情况通报。 </w:t>
      </w:r>
    </w:p>
    <w:p w14:paraId="1DB09E8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 xml:space="preserve">主动公开政府信息情况 </w:t>
      </w:r>
    </w:p>
    <w:p w14:paraId="2B3F8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center"/>
        <w:rPr>
          <w:rFonts w:hint="eastAsia" w:ascii="宋体" w:hAnsi="宋体" w:eastAsia="宋体" w:cs="宋体"/>
        </w:rPr>
      </w:pPr>
    </w:p>
    <w:tbl>
      <w:tblPr>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35"/>
        <w:gridCol w:w="2435"/>
        <w:gridCol w:w="2435"/>
        <w:gridCol w:w="2435"/>
      </w:tblGrid>
      <w:tr w14:paraId="11F1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18D7C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第二十条第（一）项</w:t>
            </w:r>
          </w:p>
        </w:tc>
      </w:tr>
      <w:tr w14:paraId="7F1D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59264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信息内容</w:t>
            </w:r>
          </w:p>
        </w:tc>
        <w:tc>
          <w:tcPr>
            <w:tcW w:w="2435"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1613A2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w:t>
            </w:r>
            <w:r>
              <w:rPr>
                <w:rFonts w:hint="eastAsia" w:ascii="宋体" w:hAnsi="宋体" w:eastAsia="宋体" w:cs="宋体"/>
                <w:kern w:val="0"/>
                <w:sz w:val="20"/>
                <w:szCs w:val="20"/>
                <w:bdr w:val="none" w:color="auto" w:sz="0" w:space="0"/>
                <w:lang w:val="en-US" w:eastAsia="zh-CN" w:bidi="ar"/>
              </w:rPr>
              <w:t>制发件数</w:t>
            </w:r>
          </w:p>
        </w:tc>
        <w:tc>
          <w:tcPr>
            <w:tcW w:w="2435"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5035E3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58B30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现行有效件</w:t>
            </w:r>
            <w:r>
              <w:rPr>
                <w:rFonts w:hint="eastAsia" w:ascii="宋体" w:hAnsi="宋体" w:eastAsia="宋体" w:cs="宋体"/>
                <w:kern w:val="0"/>
                <w:sz w:val="20"/>
                <w:szCs w:val="20"/>
                <w:bdr w:val="none" w:color="auto" w:sz="0" w:space="0"/>
                <w:lang w:val="en-US" w:eastAsia="zh-CN" w:bidi="ar"/>
              </w:rPr>
              <w:t>数</w:t>
            </w:r>
          </w:p>
        </w:tc>
      </w:tr>
      <w:tr w14:paraId="72CF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63BE4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规章</w:t>
            </w:r>
          </w:p>
        </w:tc>
        <w:tc>
          <w:tcPr>
            <w:tcW w:w="243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4B24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bdr w:val="none" w:color="auto" w:sz="0" w:space="0"/>
                <w:lang w:val="en-US" w:eastAsia="zh-CN" w:bidi="ar"/>
              </w:rPr>
              <w:t>　　0</w:t>
            </w:r>
          </w:p>
        </w:tc>
        <w:tc>
          <w:tcPr>
            <w:tcW w:w="243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C206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bdr w:val="none" w:color="auto" w:sz="0" w:space="0"/>
                <w:lang w:val="en-US" w:eastAsia="zh-CN" w:bidi="ar"/>
              </w:rPr>
              <w:t>　0</w:t>
            </w:r>
          </w:p>
        </w:tc>
        <w:tc>
          <w:tcPr>
            <w:tcW w:w="243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D0DCC5F">
            <w:pPr>
              <w:rPr>
                <w:rFonts w:hint="eastAsia" w:ascii="宋体" w:eastAsia="宋体"/>
                <w:sz w:val="24"/>
                <w:szCs w:val="24"/>
                <w:lang w:val="en-US" w:eastAsia="zh-CN"/>
              </w:rPr>
            </w:pPr>
            <w:r>
              <w:rPr>
                <w:rFonts w:hint="eastAsia" w:ascii="宋体"/>
                <w:sz w:val="24"/>
                <w:szCs w:val="24"/>
                <w:lang w:val="en-US" w:eastAsia="zh-CN"/>
              </w:rPr>
              <w:t>0</w:t>
            </w:r>
          </w:p>
        </w:tc>
      </w:tr>
      <w:tr w14:paraId="5D37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4D276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行政规范性文件</w:t>
            </w:r>
          </w:p>
        </w:tc>
        <w:tc>
          <w:tcPr>
            <w:tcW w:w="243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22EF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bdr w:val="none" w:color="auto" w:sz="0" w:space="0"/>
                <w:lang w:val="en-US" w:eastAsia="zh-CN" w:bidi="ar"/>
              </w:rPr>
              <w:t>　　0</w:t>
            </w:r>
          </w:p>
        </w:tc>
        <w:tc>
          <w:tcPr>
            <w:tcW w:w="243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5E443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bdr w:val="none" w:color="auto" w:sz="0" w:space="0"/>
                <w:lang w:val="en-US" w:eastAsia="zh-CN" w:bidi="ar"/>
              </w:rPr>
              <w:t>　0</w:t>
            </w:r>
          </w:p>
        </w:tc>
        <w:tc>
          <w:tcPr>
            <w:tcW w:w="243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DB47AD0">
            <w:pPr>
              <w:rPr>
                <w:rFonts w:hint="eastAsia" w:ascii="宋体" w:eastAsia="宋体"/>
                <w:sz w:val="24"/>
                <w:szCs w:val="24"/>
                <w:lang w:val="en-US" w:eastAsia="zh-CN"/>
              </w:rPr>
            </w:pPr>
            <w:r>
              <w:rPr>
                <w:rFonts w:hint="eastAsia" w:ascii="宋体"/>
                <w:sz w:val="24"/>
                <w:szCs w:val="24"/>
                <w:lang w:val="en-US" w:eastAsia="zh-CN"/>
              </w:rPr>
              <w:t>0</w:t>
            </w:r>
          </w:p>
        </w:tc>
      </w:tr>
      <w:tr w14:paraId="28C2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6B1E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第二十条第（五）项</w:t>
            </w:r>
          </w:p>
        </w:tc>
      </w:tr>
      <w:tr w14:paraId="17F1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0F2196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信息内容</w:t>
            </w:r>
          </w:p>
        </w:tc>
        <w:tc>
          <w:tcPr>
            <w:tcW w:w="730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C04AF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本年处理决定数量</w:t>
            </w:r>
          </w:p>
        </w:tc>
      </w:tr>
      <w:tr w14:paraId="26FF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0AA7E2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行政许可</w:t>
            </w:r>
          </w:p>
        </w:tc>
        <w:tc>
          <w:tcPr>
            <w:tcW w:w="730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3D97C44">
            <w:pPr>
              <w:rPr>
                <w:rFonts w:hint="eastAsia" w:ascii="宋体" w:eastAsia="宋体"/>
                <w:sz w:val="24"/>
                <w:szCs w:val="24"/>
                <w:lang w:val="en-US" w:eastAsia="zh-CN"/>
              </w:rPr>
            </w:pPr>
            <w:r>
              <w:rPr>
                <w:rFonts w:hint="eastAsia" w:ascii="宋体"/>
                <w:sz w:val="24"/>
                <w:szCs w:val="24"/>
                <w:lang w:val="en-US" w:eastAsia="zh-CN"/>
              </w:rPr>
              <w:t>0</w:t>
            </w:r>
          </w:p>
        </w:tc>
      </w:tr>
      <w:tr w14:paraId="3EBB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CC7C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第二十条第（六）项</w:t>
            </w:r>
          </w:p>
        </w:tc>
      </w:tr>
      <w:tr w14:paraId="44C7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595663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7BB74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本年处理决定数量</w:t>
            </w:r>
          </w:p>
        </w:tc>
      </w:tr>
      <w:tr w14:paraId="473C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1107B2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行政处罚</w:t>
            </w:r>
          </w:p>
        </w:tc>
        <w:tc>
          <w:tcPr>
            <w:tcW w:w="730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CB2A2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bdr w:val="none" w:color="auto" w:sz="0" w:space="0"/>
                <w:lang w:val="en-US" w:eastAsia="zh-CN" w:bidi="ar"/>
              </w:rPr>
              <w:t>　0</w:t>
            </w:r>
          </w:p>
        </w:tc>
      </w:tr>
      <w:tr w14:paraId="5142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14693D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行政强制</w:t>
            </w:r>
          </w:p>
        </w:tc>
        <w:tc>
          <w:tcPr>
            <w:tcW w:w="730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0162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　</w:t>
            </w:r>
          </w:p>
        </w:tc>
      </w:tr>
      <w:tr w14:paraId="3ABA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0962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第二十条第（八）项</w:t>
            </w:r>
          </w:p>
        </w:tc>
      </w:tr>
      <w:tr w14:paraId="0DC2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4FF6E9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信息内容</w:t>
            </w:r>
          </w:p>
        </w:tc>
        <w:tc>
          <w:tcPr>
            <w:tcW w:w="7305"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14:paraId="5D526D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本年收费金额（单位：万元）</w:t>
            </w:r>
          </w:p>
        </w:tc>
      </w:tr>
      <w:tr w14:paraId="458B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7BF563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行政事业性收费</w:t>
            </w:r>
          </w:p>
        </w:tc>
        <w:tc>
          <w:tcPr>
            <w:tcW w:w="7305"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14:paraId="550079BD">
            <w:pPr>
              <w:rPr>
                <w:rFonts w:hint="eastAsia" w:ascii="宋体" w:eastAsia="宋体"/>
                <w:sz w:val="24"/>
                <w:szCs w:val="24"/>
                <w:lang w:val="en-US" w:eastAsia="zh-CN"/>
              </w:rPr>
            </w:pPr>
            <w:r>
              <w:rPr>
                <w:rFonts w:hint="eastAsia" w:ascii="宋体"/>
                <w:sz w:val="24"/>
                <w:szCs w:val="24"/>
                <w:lang w:val="en-US" w:eastAsia="zh-CN"/>
              </w:rPr>
              <w:t>0</w:t>
            </w:r>
          </w:p>
        </w:tc>
      </w:tr>
    </w:tbl>
    <w:p w14:paraId="15E40D6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right="0" w:rightChars="0"/>
        <w:jc w:val="both"/>
        <w:rPr>
          <w:rFonts w:hint="eastAsia" w:ascii="黑体" w:hAnsi="黑体" w:eastAsia="黑体" w:cs="黑体"/>
          <w:i w:val="0"/>
          <w:iCs w:val="0"/>
          <w:caps w:val="0"/>
          <w:color w:val="000000"/>
          <w:spacing w:val="0"/>
          <w:kern w:val="0"/>
          <w:sz w:val="32"/>
          <w:szCs w:val="32"/>
          <w:lang w:val="en-US" w:eastAsia="zh-CN" w:bidi="ar"/>
        </w:rPr>
      </w:pPr>
    </w:p>
    <w:p w14:paraId="2916CE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 xml:space="preserve">收到和处理政府信息公开申请情况 </w:t>
      </w:r>
    </w:p>
    <w:tbl>
      <w:tblPr>
        <w:tblStyle w:val="4"/>
        <w:tblW w:w="9375"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5"/>
        <w:gridCol w:w="1040"/>
        <w:gridCol w:w="1440"/>
        <w:gridCol w:w="885"/>
        <w:gridCol w:w="855"/>
        <w:gridCol w:w="870"/>
        <w:gridCol w:w="855"/>
        <w:gridCol w:w="900"/>
        <w:gridCol w:w="750"/>
        <w:gridCol w:w="825"/>
      </w:tblGrid>
      <w:tr w14:paraId="58FF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435" w:type="dxa"/>
            <w:gridSpan w:val="3"/>
            <w:vMerge w:val="restart"/>
            <w:tcBorders/>
            <w:vAlign w:val="center"/>
          </w:tcPr>
          <w:p w14:paraId="3EE41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（本列数据的勾稽关系为：第一项加第二项之和，等于第三项加第四项之和）</w:t>
            </w:r>
          </w:p>
        </w:tc>
        <w:tc>
          <w:tcPr>
            <w:tcW w:w="5940" w:type="dxa"/>
            <w:gridSpan w:val="7"/>
            <w:vAlign w:val="center"/>
          </w:tcPr>
          <w:p w14:paraId="5E97E8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p w14:paraId="31E5A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申请人情况</w:t>
            </w:r>
          </w:p>
        </w:tc>
      </w:tr>
      <w:tr w14:paraId="1125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07" w:hRule="atLeast"/>
        </w:trPr>
        <w:tc>
          <w:tcPr>
            <w:tcW w:w="3435" w:type="dxa"/>
            <w:gridSpan w:val="3"/>
            <w:vMerge w:val="continue"/>
            <w:tcBorders/>
            <w:vAlign w:val="center"/>
          </w:tcPr>
          <w:p w14:paraId="3FAEC096">
            <w:pPr>
              <w:keepNext w:val="0"/>
              <w:keepLines w:val="0"/>
              <w:widowControl/>
              <w:numPr>
                <w:numId w:val="0"/>
              </w:numPr>
              <w:suppressLineNumbers w:val="0"/>
              <w:spacing w:before="300" w:beforeAutospacing="0" w:after="0" w:afterAutospacing="0" w:line="560" w:lineRule="atLeast"/>
              <w:ind w:right="0" w:rightChars="0"/>
              <w:jc w:val="center"/>
              <w:rPr>
                <w:rFonts w:hint="eastAsia" w:ascii="黑体" w:hAnsi="黑体" w:eastAsia="黑体" w:cs="黑体"/>
                <w:i w:val="0"/>
                <w:iCs w:val="0"/>
                <w:caps w:val="0"/>
                <w:color w:val="000000"/>
                <w:spacing w:val="0"/>
                <w:kern w:val="0"/>
                <w:sz w:val="32"/>
                <w:szCs w:val="32"/>
                <w:vertAlign w:val="baseline"/>
                <w:lang w:val="en-US" w:eastAsia="zh-CN" w:bidi="ar"/>
              </w:rPr>
            </w:pPr>
          </w:p>
        </w:tc>
        <w:tc>
          <w:tcPr>
            <w:tcW w:w="885" w:type="dxa"/>
            <w:vMerge w:val="restart"/>
            <w:vAlign w:val="center"/>
          </w:tcPr>
          <w:p w14:paraId="44EDB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p w14:paraId="34363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自然人</w:t>
            </w:r>
          </w:p>
        </w:tc>
        <w:tc>
          <w:tcPr>
            <w:tcW w:w="4230" w:type="dxa"/>
            <w:gridSpan w:val="5"/>
            <w:vAlign w:val="center"/>
          </w:tcPr>
          <w:p w14:paraId="29A91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法人或其他组织</w:t>
            </w:r>
          </w:p>
        </w:tc>
        <w:tc>
          <w:tcPr>
            <w:tcW w:w="825" w:type="dxa"/>
            <w:vMerge w:val="restart"/>
            <w:vAlign w:val="center"/>
          </w:tcPr>
          <w:p w14:paraId="414C76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总计</w:t>
            </w:r>
          </w:p>
        </w:tc>
      </w:tr>
      <w:tr w14:paraId="24B3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435" w:type="dxa"/>
            <w:gridSpan w:val="3"/>
            <w:vMerge w:val="continue"/>
            <w:tcBorders/>
            <w:vAlign w:val="center"/>
          </w:tcPr>
          <w:p w14:paraId="28A6BA59">
            <w:pPr>
              <w:keepNext w:val="0"/>
              <w:keepLines w:val="0"/>
              <w:widowControl/>
              <w:numPr>
                <w:numId w:val="0"/>
              </w:numPr>
              <w:suppressLineNumbers w:val="0"/>
              <w:spacing w:before="300" w:beforeAutospacing="0" w:after="0" w:afterAutospacing="0" w:line="560" w:lineRule="atLeast"/>
              <w:ind w:right="0" w:rightChars="0"/>
              <w:jc w:val="center"/>
              <w:rPr>
                <w:rFonts w:hint="eastAsia" w:ascii="黑体" w:hAnsi="黑体" w:eastAsia="黑体" w:cs="黑体"/>
                <w:i w:val="0"/>
                <w:iCs w:val="0"/>
                <w:caps w:val="0"/>
                <w:color w:val="000000"/>
                <w:spacing w:val="0"/>
                <w:kern w:val="0"/>
                <w:sz w:val="32"/>
                <w:szCs w:val="32"/>
                <w:vertAlign w:val="baseline"/>
                <w:lang w:val="en-US" w:eastAsia="zh-CN" w:bidi="ar"/>
              </w:rPr>
            </w:pPr>
          </w:p>
        </w:tc>
        <w:tc>
          <w:tcPr>
            <w:tcW w:w="885" w:type="dxa"/>
            <w:vMerge w:val="continue"/>
            <w:tcBorders/>
            <w:vAlign w:val="center"/>
          </w:tcPr>
          <w:p w14:paraId="003347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855" w:type="dxa"/>
            <w:vAlign w:val="center"/>
          </w:tcPr>
          <w:p w14:paraId="52EB9A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商业</w:t>
            </w:r>
          </w:p>
          <w:p w14:paraId="2115D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企业</w:t>
            </w:r>
          </w:p>
        </w:tc>
        <w:tc>
          <w:tcPr>
            <w:tcW w:w="870" w:type="dxa"/>
            <w:vAlign w:val="center"/>
          </w:tcPr>
          <w:p w14:paraId="032E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科研</w:t>
            </w:r>
          </w:p>
          <w:p w14:paraId="31283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机构</w:t>
            </w:r>
          </w:p>
        </w:tc>
        <w:tc>
          <w:tcPr>
            <w:tcW w:w="855" w:type="dxa"/>
            <w:vAlign w:val="center"/>
          </w:tcPr>
          <w:p w14:paraId="33789E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社会</w:t>
            </w:r>
          </w:p>
          <w:p w14:paraId="2EAB5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公益</w:t>
            </w:r>
          </w:p>
          <w:p w14:paraId="62F38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组织</w:t>
            </w:r>
          </w:p>
        </w:tc>
        <w:tc>
          <w:tcPr>
            <w:tcW w:w="900" w:type="dxa"/>
            <w:vAlign w:val="center"/>
          </w:tcPr>
          <w:p w14:paraId="2ED84F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法律</w:t>
            </w:r>
          </w:p>
          <w:p w14:paraId="330DB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服务</w:t>
            </w:r>
          </w:p>
          <w:p w14:paraId="52D5B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机构</w:t>
            </w:r>
          </w:p>
        </w:tc>
        <w:tc>
          <w:tcPr>
            <w:tcW w:w="750" w:type="dxa"/>
            <w:vAlign w:val="center"/>
          </w:tcPr>
          <w:p w14:paraId="4BDB7F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tc>
        <w:tc>
          <w:tcPr>
            <w:tcW w:w="825" w:type="dxa"/>
            <w:vMerge w:val="continue"/>
            <w:tcBorders/>
            <w:vAlign w:val="center"/>
          </w:tcPr>
          <w:p w14:paraId="6205FF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r>
      <w:tr w14:paraId="72DB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2" w:hRule="atLeast"/>
        </w:trPr>
        <w:tc>
          <w:tcPr>
            <w:tcW w:w="3435" w:type="dxa"/>
            <w:gridSpan w:val="3"/>
            <w:vAlign w:val="center"/>
          </w:tcPr>
          <w:p w14:paraId="7765D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一、本年新收政府信息公开申请数量</w:t>
            </w:r>
          </w:p>
        </w:tc>
        <w:tc>
          <w:tcPr>
            <w:tcW w:w="885" w:type="dxa"/>
            <w:vAlign w:val="center"/>
          </w:tcPr>
          <w:p w14:paraId="5FFF6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202FB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61EA0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62BC7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1573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691F7E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74EC3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1525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32" w:hRule="atLeast"/>
        </w:trPr>
        <w:tc>
          <w:tcPr>
            <w:tcW w:w="3435" w:type="dxa"/>
            <w:gridSpan w:val="3"/>
            <w:vAlign w:val="center"/>
          </w:tcPr>
          <w:p w14:paraId="097E55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二、上年结转政府信息公开申请数量</w:t>
            </w:r>
          </w:p>
        </w:tc>
        <w:tc>
          <w:tcPr>
            <w:tcW w:w="885" w:type="dxa"/>
            <w:vAlign w:val="center"/>
          </w:tcPr>
          <w:p w14:paraId="5287A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57168E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0DE5B4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16376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78238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600E6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79EF05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C9D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restart"/>
            <w:vAlign w:val="center"/>
          </w:tcPr>
          <w:p w14:paraId="44BDC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三、本年度办理结果</w:t>
            </w:r>
          </w:p>
        </w:tc>
        <w:tc>
          <w:tcPr>
            <w:tcW w:w="2480" w:type="dxa"/>
            <w:gridSpan w:val="2"/>
            <w:vAlign w:val="center"/>
          </w:tcPr>
          <w:p w14:paraId="2E91C8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（一）予以公开</w:t>
            </w:r>
          </w:p>
        </w:tc>
        <w:tc>
          <w:tcPr>
            <w:tcW w:w="885" w:type="dxa"/>
            <w:vAlign w:val="center"/>
          </w:tcPr>
          <w:p w14:paraId="019F9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65E139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7C6954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4BED8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57C30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22A58C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6E38B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046C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04AA43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2480" w:type="dxa"/>
            <w:gridSpan w:val="2"/>
            <w:vAlign w:val="center"/>
          </w:tcPr>
          <w:p w14:paraId="1268EE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（二）部分公开（区分处理的，只计这一情形，不计其他情形）</w:t>
            </w:r>
          </w:p>
        </w:tc>
        <w:tc>
          <w:tcPr>
            <w:tcW w:w="885" w:type="dxa"/>
            <w:vAlign w:val="center"/>
          </w:tcPr>
          <w:p w14:paraId="28A5DA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3AFE1D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5CAFF8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581BB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6D644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6015A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37A8B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05B2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6E9B79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restart"/>
            <w:vAlign w:val="center"/>
          </w:tcPr>
          <w:p w14:paraId="2B7F77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（三）不予公开</w:t>
            </w:r>
          </w:p>
        </w:tc>
        <w:tc>
          <w:tcPr>
            <w:tcW w:w="1440" w:type="dxa"/>
            <w:vAlign w:val="center"/>
          </w:tcPr>
          <w:p w14:paraId="6CC00B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1.属于国家秘密</w:t>
            </w:r>
          </w:p>
        </w:tc>
        <w:tc>
          <w:tcPr>
            <w:tcW w:w="885" w:type="dxa"/>
            <w:vAlign w:val="center"/>
          </w:tcPr>
          <w:p w14:paraId="6695F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495CA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377A2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0AFCE0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10DC45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5CC82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13DB14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1D89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4C7E0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58E9D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10014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2.其他法律行政法规禁止公开</w:t>
            </w:r>
          </w:p>
        </w:tc>
        <w:tc>
          <w:tcPr>
            <w:tcW w:w="885" w:type="dxa"/>
            <w:vAlign w:val="center"/>
          </w:tcPr>
          <w:p w14:paraId="3C8C6B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5252D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6023EB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48ECA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47F99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3785B3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46B23A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246E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71ECFB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054421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4399C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3.危及“三安全一稳定”</w:t>
            </w:r>
          </w:p>
        </w:tc>
        <w:tc>
          <w:tcPr>
            <w:tcW w:w="885" w:type="dxa"/>
            <w:vAlign w:val="center"/>
          </w:tcPr>
          <w:p w14:paraId="7AFA9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2BEB5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49675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0A6A6D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6ECCB7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18571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7931A7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0BA7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53AE06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7A96C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14605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4.保护第三方合法权益</w:t>
            </w:r>
          </w:p>
        </w:tc>
        <w:tc>
          <w:tcPr>
            <w:tcW w:w="885" w:type="dxa"/>
            <w:vAlign w:val="center"/>
          </w:tcPr>
          <w:p w14:paraId="58A422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21D91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49CF72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37B7C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08481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2A0B9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34A07D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0871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26D47D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63CD7F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0BE7F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5.属于三类内部事务信息</w:t>
            </w:r>
          </w:p>
        </w:tc>
        <w:tc>
          <w:tcPr>
            <w:tcW w:w="885" w:type="dxa"/>
            <w:vAlign w:val="center"/>
          </w:tcPr>
          <w:p w14:paraId="7A70E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11F91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42BE0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46FCA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57582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399BA0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3D731D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2C3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2FF31E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014DE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29791F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6.属于四类过程性信息</w:t>
            </w:r>
          </w:p>
        </w:tc>
        <w:tc>
          <w:tcPr>
            <w:tcW w:w="885" w:type="dxa"/>
            <w:vAlign w:val="center"/>
          </w:tcPr>
          <w:p w14:paraId="6B7B85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65061D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01F55B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7E88DA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5B272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07EBA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52803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C78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480BF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559DE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5DC9C4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7.属于行政执法案卷</w:t>
            </w:r>
          </w:p>
        </w:tc>
        <w:tc>
          <w:tcPr>
            <w:tcW w:w="885" w:type="dxa"/>
            <w:vAlign w:val="center"/>
          </w:tcPr>
          <w:p w14:paraId="58990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34C1B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4B918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1509FA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4B880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175C51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504292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5950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486E4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63A0C9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6EB70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8.属于行政查询事项</w:t>
            </w:r>
          </w:p>
        </w:tc>
        <w:tc>
          <w:tcPr>
            <w:tcW w:w="885" w:type="dxa"/>
            <w:vAlign w:val="center"/>
          </w:tcPr>
          <w:p w14:paraId="1C838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36C705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17406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6D06E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3A1C7F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76329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1F64B6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49C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741CE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restart"/>
            <w:vAlign w:val="center"/>
          </w:tcPr>
          <w:p w14:paraId="34F2B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（四）无法提供</w:t>
            </w:r>
          </w:p>
        </w:tc>
        <w:tc>
          <w:tcPr>
            <w:tcW w:w="1440" w:type="dxa"/>
            <w:vAlign w:val="center"/>
          </w:tcPr>
          <w:p w14:paraId="25767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1.本机关不掌握相关政府信息</w:t>
            </w:r>
          </w:p>
        </w:tc>
        <w:tc>
          <w:tcPr>
            <w:tcW w:w="885" w:type="dxa"/>
            <w:vAlign w:val="center"/>
          </w:tcPr>
          <w:p w14:paraId="7121F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437CA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512A5A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4482D1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75D225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597447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7ADEE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780A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489F2F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251B42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50BCF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2.没有现成信息需要另行制作</w:t>
            </w:r>
          </w:p>
        </w:tc>
        <w:tc>
          <w:tcPr>
            <w:tcW w:w="885" w:type="dxa"/>
            <w:vAlign w:val="center"/>
          </w:tcPr>
          <w:p w14:paraId="69253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750648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5DA070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5F40B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0F49BB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3C6E1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1B2DB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26B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7BE085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06729E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4B77D2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3.补正后申请内容仍不明确</w:t>
            </w:r>
          </w:p>
        </w:tc>
        <w:tc>
          <w:tcPr>
            <w:tcW w:w="885" w:type="dxa"/>
            <w:vAlign w:val="center"/>
          </w:tcPr>
          <w:p w14:paraId="0EDA9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6B852D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23C036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47B77A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24E04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76444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207CDB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1149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18A42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restart"/>
            <w:vAlign w:val="center"/>
          </w:tcPr>
          <w:p w14:paraId="4D507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（五）不予处理</w:t>
            </w:r>
          </w:p>
        </w:tc>
        <w:tc>
          <w:tcPr>
            <w:tcW w:w="1440" w:type="dxa"/>
            <w:vAlign w:val="center"/>
          </w:tcPr>
          <w:p w14:paraId="7478A1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1.信访举报投诉类申请</w:t>
            </w:r>
          </w:p>
        </w:tc>
        <w:tc>
          <w:tcPr>
            <w:tcW w:w="885" w:type="dxa"/>
            <w:vAlign w:val="center"/>
          </w:tcPr>
          <w:p w14:paraId="2B5CD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2E5D1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6D28A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050A8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4FE1D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531C3A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65EE2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5AE8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65D41A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20F346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20BF8B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2.重复申请</w:t>
            </w:r>
          </w:p>
        </w:tc>
        <w:tc>
          <w:tcPr>
            <w:tcW w:w="885" w:type="dxa"/>
            <w:vAlign w:val="center"/>
          </w:tcPr>
          <w:p w14:paraId="7BCC18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368BC5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20F6AB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72A6D8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25260D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610502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6D7B90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1FA3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restart"/>
            <w:vAlign w:val="center"/>
          </w:tcPr>
          <w:p w14:paraId="67A112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6D00D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1EADA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3.要求提供公开出版物</w:t>
            </w:r>
          </w:p>
        </w:tc>
        <w:tc>
          <w:tcPr>
            <w:tcW w:w="885" w:type="dxa"/>
            <w:vAlign w:val="center"/>
          </w:tcPr>
          <w:p w14:paraId="0C2F1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598F9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786A7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551E6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20A8E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7D4D9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42176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2781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6A4B1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09BF9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13479C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4.无正当理由大量反复申请</w:t>
            </w:r>
          </w:p>
        </w:tc>
        <w:tc>
          <w:tcPr>
            <w:tcW w:w="885" w:type="dxa"/>
            <w:vAlign w:val="center"/>
          </w:tcPr>
          <w:p w14:paraId="41C67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6B86D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5EBB41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3062C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4BB3C6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1C0A11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33983A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2FC4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562FB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Merge w:val="continue"/>
            <w:tcBorders/>
            <w:vAlign w:val="center"/>
          </w:tcPr>
          <w:p w14:paraId="43FA3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3A239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5.要求行政机关确认或重新出具已获取信息</w:t>
            </w:r>
          </w:p>
        </w:tc>
        <w:tc>
          <w:tcPr>
            <w:tcW w:w="885" w:type="dxa"/>
            <w:vAlign w:val="center"/>
          </w:tcPr>
          <w:p w14:paraId="0132C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1937C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6B2ED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7742D3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61577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480BC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261C47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6146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7A4E6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Align w:val="center"/>
          </w:tcPr>
          <w:p w14:paraId="1B20E9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（六）其他处理</w:t>
            </w:r>
          </w:p>
        </w:tc>
        <w:tc>
          <w:tcPr>
            <w:tcW w:w="1440" w:type="dxa"/>
            <w:vAlign w:val="center"/>
          </w:tcPr>
          <w:p w14:paraId="0E1EC5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1.申请人无正当理由逾期不补正、行政机关不再处理其政府信息公开申请</w:t>
            </w:r>
          </w:p>
        </w:tc>
        <w:tc>
          <w:tcPr>
            <w:tcW w:w="885" w:type="dxa"/>
            <w:vAlign w:val="center"/>
          </w:tcPr>
          <w:p w14:paraId="6A948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57949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5F7714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4B312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7E6513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1F0FA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7BB7C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0A42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restart"/>
            <w:vAlign w:val="center"/>
          </w:tcPr>
          <w:p w14:paraId="426CB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Align w:val="center"/>
          </w:tcPr>
          <w:p w14:paraId="53A272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4054DF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2.申请人逾期未按收费通知要求缴纳费用、行政机关不再处理其政府信息公开申请</w:t>
            </w:r>
          </w:p>
        </w:tc>
        <w:tc>
          <w:tcPr>
            <w:tcW w:w="885" w:type="dxa"/>
            <w:vAlign w:val="center"/>
          </w:tcPr>
          <w:p w14:paraId="1FBF3F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4A9AB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0F6CA1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174B1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493437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2C37C3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0B3A2D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1D97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0A7FA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1040" w:type="dxa"/>
            <w:vAlign w:val="center"/>
          </w:tcPr>
          <w:p w14:paraId="2FD66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p>
        </w:tc>
        <w:tc>
          <w:tcPr>
            <w:tcW w:w="1440" w:type="dxa"/>
            <w:vAlign w:val="center"/>
          </w:tcPr>
          <w:p w14:paraId="2C4E4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3.其他</w:t>
            </w:r>
          </w:p>
        </w:tc>
        <w:tc>
          <w:tcPr>
            <w:tcW w:w="885" w:type="dxa"/>
            <w:vAlign w:val="center"/>
          </w:tcPr>
          <w:p w14:paraId="1E662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353ED4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55F0AD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7BBFAF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2D55CB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5FA90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5F827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DF9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5" w:type="dxa"/>
            <w:vMerge w:val="continue"/>
            <w:tcBorders/>
            <w:vAlign w:val="center"/>
          </w:tcPr>
          <w:p w14:paraId="1476A3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2480" w:type="dxa"/>
            <w:gridSpan w:val="2"/>
            <w:vAlign w:val="center"/>
          </w:tcPr>
          <w:p w14:paraId="005F9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（七）总计</w:t>
            </w:r>
          </w:p>
        </w:tc>
        <w:tc>
          <w:tcPr>
            <w:tcW w:w="885" w:type="dxa"/>
            <w:vAlign w:val="center"/>
          </w:tcPr>
          <w:p w14:paraId="602ED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5A7D8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5EFAC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29FF11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26124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310D2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39079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6C4F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435" w:type="dxa"/>
            <w:gridSpan w:val="3"/>
            <w:vAlign w:val="center"/>
          </w:tcPr>
          <w:p w14:paraId="237978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四、结转下年度继续办理</w:t>
            </w:r>
          </w:p>
        </w:tc>
        <w:tc>
          <w:tcPr>
            <w:tcW w:w="885" w:type="dxa"/>
            <w:vAlign w:val="center"/>
          </w:tcPr>
          <w:p w14:paraId="2CCF0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31CC14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70" w:type="dxa"/>
            <w:vAlign w:val="center"/>
          </w:tcPr>
          <w:p w14:paraId="38D3A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55" w:type="dxa"/>
            <w:vAlign w:val="center"/>
          </w:tcPr>
          <w:p w14:paraId="51655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900" w:type="dxa"/>
            <w:vAlign w:val="center"/>
          </w:tcPr>
          <w:p w14:paraId="024E92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750" w:type="dxa"/>
            <w:vAlign w:val="center"/>
          </w:tcPr>
          <w:p w14:paraId="2489D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825" w:type="dxa"/>
            <w:vAlign w:val="center"/>
          </w:tcPr>
          <w:p w14:paraId="1D67D9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bl>
    <w:p w14:paraId="01FD236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right="0" w:rightChars="0"/>
        <w:jc w:val="both"/>
        <w:rPr>
          <w:rFonts w:hint="eastAsia" w:ascii="黑体" w:hAnsi="黑体" w:eastAsia="黑体" w:cs="黑体"/>
          <w:i w:val="0"/>
          <w:iCs w:val="0"/>
          <w:caps w:val="0"/>
          <w:color w:val="000000"/>
          <w:spacing w:val="0"/>
          <w:kern w:val="0"/>
          <w:sz w:val="32"/>
          <w:szCs w:val="32"/>
          <w:lang w:val="en-US" w:eastAsia="zh-CN" w:bidi="ar"/>
        </w:rPr>
      </w:pPr>
    </w:p>
    <w:p w14:paraId="0C8BD5F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政府信息公开行政复议、行政诉讼情况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67"/>
        <w:gridCol w:w="568"/>
        <w:gridCol w:w="568"/>
        <w:gridCol w:w="568"/>
        <w:gridCol w:w="568"/>
        <w:gridCol w:w="568"/>
        <w:gridCol w:w="568"/>
        <w:gridCol w:w="568"/>
        <w:gridCol w:w="568"/>
        <w:gridCol w:w="569"/>
        <w:gridCol w:w="568"/>
        <w:gridCol w:w="568"/>
        <w:gridCol w:w="568"/>
        <w:gridCol w:w="569"/>
        <w:gridCol w:w="569"/>
      </w:tblGrid>
      <w:tr w14:paraId="0525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7" w:hRule="atLeast"/>
        </w:trPr>
        <w:tc>
          <w:tcPr>
            <w:tcW w:w="2839" w:type="dxa"/>
            <w:gridSpan w:val="5"/>
            <w:vMerge w:val="restart"/>
            <w:vAlign w:val="center"/>
          </w:tcPr>
          <w:p w14:paraId="270D69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行政复议</w:t>
            </w:r>
          </w:p>
        </w:tc>
        <w:tc>
          <w:tcPr>
            <w:tcW w:w="5683" w:type="dxa"/>
            <w:gridSpan w:val="10"/>
            <w:vAlign w:val="center"/>
          </w:tcPr>
          <w:p w14:paraId="71A6D3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行政诉讼</w:t>
            </w:r>
          </w:p>
        </w:tc>
      </w:tr>
      <w:tr w14:paraId="2EBD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7" w:hRule="atLeast"/>
        </w:trPr>
        <w:tc>
          <w:tcPr>
            <w:tcW w:w="2839" w:type="dxa"/>
            <w:gridSpan w:val="5"/>
            <w:vMerge w:val="continue"/>
            <w:tcBorders/>
            <w:vAlign w:val="center"/>
          </w:tcPr>
          <w:p w14:paraId="22115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c>
          <w:tcPr>
            <w:tcW w:w="2841" w:type="dxa"/>
            <w:gridSpan w:val="5"/>
            <w:vAlign w:val="center"/>
          </w:tcPr>
          <w:p w14:paraId="0CB3A9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aps w:val="0"/>
                <w:color w:val="1E1E1E"/>
                <w:spacing w:val="0"/>
                <w:sz w:val="20"/>
                <w:szCs w:val="20"/>
                <w:shd w:val="clear" w:fill="FFFFFF"/>
              </w:rPr>
              <w:t>未经复议直接起诉</w:t>
            </w:r>
          </w:p>
        </w:tc>
        <w:tc>
          <w:tcPr>
            <w:tcW w:w="2842" w:type="dxa"/>
            <w:gridSpan w:val="5"/>
            <w:vAlign w:val="center"/>
          </w:tcPr>
          <w:p w14:paraId="0CC3C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复议后起诉</w:t>
            </w:r>
          </w:p>
        </w:tc>
      </w:tr>
      <w:tr w14:paraId="0CEE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33" w:hRule="atLeast"/>
        </w:trPr>
        <w:tc>
          <w:tcPr>
            <w:tcW w:w="567" w:type="dxa"/>
          </w:tcPr>
          <w:p w14:paraId="4F1730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结果维持</w:t>
            </w:r>
          </w:p>
        </w:tc>
        <w:tc>
          <w:tcPr>
            <w:tcW w:w="568" w:type="dxa"/>
          </w:tcPr>
          <w:p w14:paraId="122DF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结果纠正</w:t>
            </w:r>
          </w:p>
        </w:tc>
        <w:tc>
          <w:tcPr>
            <w:tcW w:w="568" w:type="dxa"/>
          </w:tcPr>
          <w:p w14:paraId="0DC054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其他结果</w:t>
            </w:r>
          </w:p>
        </w:tc>
        <w:tc>
          <w:tcPr>
            <w:tcW w:w="568" w:type="dxa"/>
          </w:tcPr>
          <w:p w14:paraId="29313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尚未审结</w:t>
            </w:r>
          </w:p>
        </w:tc>
        <w:tc>
          <w:tcPr>
            <w:tcW w:w="568" w:type="dxa"/>
          </w:tcPr>
          <w:p w14:paraId="51B65C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总计</w:t>
            </w:r>
          </w:p>
        </w:tc>
        <w:tc>
          <w:tcPr>
            <w:tcW w:w="568" w:type="dxa"/>
          </w:tcPr>
          <w:p w14:paraId="6DADDC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结果维持</w:t>
            </w:r>
          </w:p>
        </w:tc>
        <w:tc>
          <w:tcPr>
            <w:tcW w:w="568" w:type="dxa"/>
          </w:tcPr>
          <w:p w14:paraId="16855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结果纠正</w:t>
            </w:r>
          </w:p>
        </w:tc>
        <w:tc>
          <w:tcPr>
            <w:tcW w:w="568" w:type="dxa"/>
          </w:tcPr>
          <w:p w14:paraId="3305DE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其他结果 尚未审结</w:t>
            </w:r>
          </w:p>
        </w:tc>
        <w:tc>
          <w:tcPr>
            <w:tcW w:w="568" w:type="dxa"/>
          </w:tcPr>
          <w:p w14:paraId="2D37D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其他结果 尚未审结</w:t>
            </w:r>
          </w:p>
        </w:tc>
        <w:tc>
          <w:tcPr>
            <w:tcW w:w="569" w:type="dxa"/>
          </w:tcPr>
          <w:p w14:paraId="4685D7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总计</w:t>
            </w:r>
          </w:p>
        </w:tc>
        <w:tc>
          <w:tcPr>
            <w:tcW w:w="568" w:type="dxa"/>
            <w:vAlign w:val="top"/>
          </w:tcPr>
          <w:p w14:paraId="2BA48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结果维持</w:t>
            </w:r>
          </w:p>
        </w:tc>
        <w:tc>
          <w:tcPr>
            <w:tcW w:w="568" w:type="dxa"/>
            <w:vAlign w:val="top"/>
          </w:tcPr>
          <w:p w14:paraId="6D14F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结果纠正</w:t>
            </w:r>
          </w:p>
        </w:tc>
        <w:tc>
          <w:tcPr>
            <w:tcW w:w="568" w:type="dxa"/>
            <w:vAlign w:val="top"/>
          </w:tcPr>
          <w:p w14:paraId="09CC4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其他结果</w:t>
            </w:r>
          </w:p>
        </w:tc>
        <w:tc>
          <w:tcPr>
            <w:tcW w:w="569" w:type="dxa"/>
            <w:vAlign w:val="top"/>
          </w:tcPr>
          <w:p w14:paraId="2AA38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尚未审结</w:t>
            </w:r>
          </w:p>
        </w:tc>
        <w:tc>
          <w:tcPr>
            <w:tcW w:w="569" w:type="dxa"/>
            <w:vAlign w:val="top"/>
          </w:tcPr>
          <w:p w14:paraId="00334E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总计</w:t>
            </w:r>
          </w:p>
        </w:tc>
      </w:tr>
      <w:tr w14:paraId="6A8E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17" w:hRule="atLeast"/>
        </w:trPr>
        <w:tc>
          <w:tcPr>
            <w:tcW w:w="567" w:type="dxa"/>
          </w:tcPr>
          <w:p w14:paraId="328FD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8" w:type="dxa"/>
          </w:tcPr>
          <w:p w14:paraId="004E27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8" w:type="dxa"/>
          </w:tcPr>
          <w:p w14:paraId="1189E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8" w:type="dxa"/>
          </w:tcPr>
          <w:p w14:paraId="039EA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8" w:type="dxa"/>
          </w:tcPr>
          <w:p w14:paraId="5E9BAC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8" w:type="dxa"/>
            <w:vAlign w:val="top"/>
          </w:tcPr>
          <w:p w14:paraId="3EE5E8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8" w:type="dxa"/>
            <w:vAlign w:val="top"/>
          </w:tcPr>
          <w:p w14:paraId="6FE0A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8" w:type="dxa"/>
            <w:vAlign w:val="top"/>
          </w:tcPr>
          <w:p w14:paraId="5CECEB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8" w:type="dxa"/>
            <w:vAlign w:val="top"/>
          </w:tcPr>
          <w:p w14:paraId="1B8824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9" w:type="dxa"/>
            <w:vAlign w:val="top"/>
          </w:tcPr>
          <w:p w14:paraId="305625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8" w:type="dxa"/>
            <w:vAlign w:val="top"/>
          </w:tcPr>
          <w:p w14:paraId="0DA6B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8" w:type="dxa"/>
            <w:vAlign w:val="top"/>
          </w:tcPr>
          <w:p w14:paraId="5C9E3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8" w:type="dxa"/>
            <w:vAlign w:val="top"/>
          </w:tcPr>
          <w:p w14:paraId="351E9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9" w:type="dxa"/>
            <w:vAlign w:val="top"/>
          </w:tcPr>
          <w:p w14:paraId="7D1D8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569" w:type="dxa"/>
            <w:vAlign w:val="top"/>
          </w:tcPr>
          <w:p w14:paraId="3DE47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bl>
    <w:p w14:paraId="0322D8D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640" w:leftChars="0" w:right="0" w:rightChars="0"/>
        <w:jc w:val="both"/>
        <w:rPr>
          <w:rFonts w:hint="eastAsia" w:ascii="黑体" w:hAnsi="黑体" w:eastAsia="黑体" w:cs="黑体"/>
          <w:i w:val="0"/>
          <w:iCs w:val="0"/>
          <w:caps w:val="0"/>
          <w:color w:val="000000"/>
          <w:spacing w:val="0"/>
          <w:kern w:val="0"/>
          <w:sz w:val="32"/>
          <w:szCs w:val="32"/>
          <w:lang w:val="en-US" w:eastAsia="zh-CN" w:bidi="ar"/>
        </w:rPr>
      </w:pPr>
    </w:p>
    <w:p w14:paraId="3CDB3A7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 xml:space="preserve">存在的主要问题及改进情况 </w:t>
      </w:r>
    </w:p>
    <w:p w14:paraId="78BFF6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right="0" w:rightChars="0" w:firstLine="640" w:firstLineChars="200"/>
        <w:jc w:val="both"/>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2025年度，我局政府信息公开工作取得了成效，但依然存在一些问题，主要表现在政府信息公开的渠道还需进一步扩展和完善，政府信息公开的质量还有待进一步提高。 2026年，我局将围绕政务公开规范化、标准化的目标，不断提高信息公开服务化水平。一是加强信访相关政策解读与宣传。对《信访工作条例》等政策法规进行详细解读，持续加强信访宣传力度，让“依法信访、理性维权”的理念更加深入人心。二是拓宽信息公开渠道。不断完善政府信息公开目录，利用政府网站、微信公众号等多种渠道进行政府信息公开，及时准确发布有关信息，提升信访为民服务水平。三是加强学习培训。深入学习《条例》，熟练掌握政府信息公开工作的流程规范，提升工作人员业务能力，全面加强政府信息主动公开。</w:t>
      </w:r>
    </w:p>
    <w:p w14:paraId="3E901A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 xml:space="preserve">其他需要报告的事项 </w:t>
      </w:r>
    </w:p>
    <w:p w14:paraId="75BA15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640" w:leftChars="0" w:right="0" w:rightChars="0"/>
        <w:jc w:val="both"/>
        <w:rPr>
          <w:rFonts w:hint="eastAsia" w:ascii="方正仿宋_GB2312" w:hAnsi="方正仿宋_GB2312" w:eastAsia="方正仿宋_GB2312" w:cs="方正仿宋_GB2312"/>
          <w:i w:val="0"/>
          <w:iCs w:val="0"/>
          <w:caps w:val="0"/>
          <w:color w:val="000000"/>
          <w:spacing w:val="0"/>
          <w:kern w:val="0"/>
          <w:sz w:val="32"/>
          <w:szCs w:val="32"/>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lang w:val="en-US" w:eastAsia="zh-CN" w:bidi="ar"/>
        </w:rPr>
        <w:t>暂无其他需要说明的事项。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25391E-1403-4170-BE2E-3F8755D836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A3036996-903A-4793-B674-21385439823A}"/>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3" w:fontKey="{A9404617-C363-4F48-AAE0-A87B1F247DB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5F8DA"/>
    <w:multiLevelType w:val="singleLevel"/>
    <w:tmpl w:val="83F5F8DA"/>
    <w:lvl w:ilvl="0" w:tentative="0">
      <w:start w:val="1"/>
      <w:numFmt w:val="chineseCounting"/>
      <w:suff w:val="nothing"/>
      <w:lvlText w:val="%1、"/>
      <w:lvlJc w:val="left"/>
      <w:rPr>
        <w:rFonts w:hint="eastAsia"/>
      </w:rPr>
    </w:lvl>
  </w:abstractNum>
  <w:abstractNum w:abstractNumId="1">
    <w:nsid w:val="1F9DEC8B"/>
    <w:multiLevelType w:val="singleLevel"/>
    <w:tmpl w:val="1F9DEC8B"/>
    <w:lvl w:ilvl="0" w:tentative="0">
      <w:start w:val="2"/>
      <w:numFmt w:val="chineseCounting"/>
      <w:suff w:val="nothing"/>
      <w:lvlText w:val="（%1）"/>
      <w:lvlJc w:val="left"/>
      <w:pPr>
        <w:ind w:left="80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B051B"/>
    <w:rsid w:val="0EC66D6C"/>
    <w:rsid w:val="0F5761B3"/>
    <w:rsid w:val="1E6F0E94"/>
    <w:rsid w:val="24A40099"/>
    <w:rsid w:val="291601D6"/>
    <w:rsid w:val="37552D47"/>
    <w:rsid w:val="520B6FE7"/>
    <w:rsid w:val="5A240EAC"/>
    <w:rsid w:val="5CBC2DB9"/>
    <w:rsid w:val="62737212"/>
    <w:rsid w:val="7BAB0149"/>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0"/>
      <w:sz w:val="32"/>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1510</Words>
  <Characters>1571</Characters>
  <Lines>0</Lines>
  <Paragraphs>0</Paragraphs>
  <TotalTime>37</TotalTime>
  <ScaleCrop>false</ScaleCrop>
  <LinksUpToDate>false</LinksUpToDate>
  <CharactersWithSpaces>1592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2023-11-29T03:20:00Z</dcterms:created>
  <dc:creator>Administrator</dc:creator>
  <cp:lastModifiedBy>Lemon</cp:lastModifiedBy>
  <dcterms:modified xsi:type="dcterms:W3CDTF">2026-02-06T08:16:03Z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9BE208D77FA742C4BD0A2A73C422289A_12</vt:lpwstr>
  </property>
  <property fmtid="{D5CDD505-2E9C-101B-9397-08002B2CF9AE}" pid="4" name="KSOTemplateDocerSaveRecord">
    <vt:lpwstr>eyJoZGlkIjoiNzlmNDM3M2M2NmRjZDVlMjQ4ZWFhMzU3YjNiODcxOTYiLCJ1c2VySWQiOiI0MDExNzE5NDEifQ==</vt:lpwstr>
  </property>
</Properties>
</file>