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长安营镇人民政府履行职责事项清</w:t>
      </w:r>
      <w:bookmarkStart w:id="0" w:name="_Toc4984"/>
      <w:r>
        <w:rPr>
          <w:rFonts w:hint="eastAsia" w:ascii="Times New Roman" w:hAnsi="方正公文小标宋" w:eastAsia="方正公文小标宋"/>
          <w:snapToGrid/>
          <w:kern w:val="0"/>
          <w:sz w:val="84"/>
          <w:szCs w:val="84"/>
        </w:rPr>
        <w:t>单</w:t>
      </w:r>
      <w:bookmarkEnd w:id="0"/>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方正公文小标宋" w:cs="Times New Roman"/>
          <w:b w:val="0"/>
          <w:bCs w:val="0"/>
          <w:snapToGrid/>
          <w:color w:val="auto"/>
          <w:kern w:val="0"/>
          <w:sz w:val="44"/>
          <w:szCs w:val="44"/>
          <w:lang w:val="en-US" w:eastAsia="en-US" w:bidi="ar-SA"/>
        </w:rPr>
        <w:id w:val="147471352"/>
        <w15:color w:val="DBDBDB"/>
        <w:docPartObj>
          <w:docPartGallery w:val="Table of Contents"/>
          <w:docPartUnique/>
        </w:docPartObj>
      </w:sdtPr>
      <w:sdtEndPr>
        <w:rPr>
          <w:rFonts w:ascii="Times New Roman" w:hAnsi="Times New Roman" w:eastAsia="方正小标宋_GBK" w:cs="Times New Roman"/>
          <w:b/>
          <w:bCs w:val="0"/>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cs="Times New Roman"/>
              <w:szCs w:val="32"/>
            </w:rPr>
          </w:pPr>
          <w:r>
            <w:rPr>
              <w:rFonts w:ascii="Times New Roman" w:hAnsi="Times New Roman" w:eastAsia="方正公文小标宋" w:cs="Times New Roman"/>
              <w:b w:val="0"/>
              <w:bCs w:val="0"/>
              <w:snapToGrid/>
              <w:color w:val="auto"/>
              <w:kern w:val="0"/>
              <w:sz w:val="44"/>
              <w:szCs w:val="44"/>
              <w:lang w:val="zh-CN" w:eastAsia="en-US" w:bidi="ar-SA"/>
            </w:rPr>
            <w:t>目</w:t>
          </w:r>
          <w:r>
            <w:rPr>
              <w:rFonts w:hint="eastAsia" w:ascii="Times New Roman" w:hAnsi="Times New Roman" w:eastAsia="方正公文小标宋" w:cs="Times New Roman"/>
              <w:b w:val="0"/>
              <w:bCs w:val="0"/>
              <w:snapToGrid/>
              <w:color w:val="auto"/>
              <w:kern w:val="0"/>
              <w:sz w:val="44"/>
              <w:szCs w:val="44"/>
              <w:lang w:val="en-US" w:eastAsia="zh-CN" w:bidi="ar-SA"/>
            </w:rPr>
            <w:t xml:space="preserve">  </w:t>
          </w:r>
          <w:r>
            <w:rPr>
              <w:rFonts w:ascii="Times New Roman" w:hAnsi="Times New Roman" w:eastAsia="方正公文小标宋" w:cs="Times New Roman"/>
              <w:b w:val="0"/>
              <w:bCs w:val="0"/>
              <w:snapToGrid/>
              <w:color w:val="auto"/>
              <w:kern w:val="0"/>
              <w:sz w:val="44"/>
              <w:szCs w:val="44"/>
              <w:lang w:val="zh-CN" w:eastAsia="en-US" w:bidi="ar-SA"/>
            </w:rPr>
            <w:t>录</w:t>
          </w:r>
          <w:r>
            <w:rPr>
              <w:rFonts w:cs="Times New Roman"/>
              <w:szCs w:val="32"/>
              <w:lang w:eastAsia="zh-CN"/>
            </w:rPr>
            <w:fldChar w:fldCharType="begin"/>
          </w:r>
          <w:r>
            <w:rPr>
              <w:rFonts w:cs="Times New Roman"/>
              <w:szCs w:val="32"/>
              <w:lang w:eastAsia="zh-CN"/>
            </w:rPr>
            <w:instrText xml:space="preserve">TOC \o "1-1" \h \u </w:instrText>
          </w:r>
          <w:r>
            <w:rPr>
              <w:rFonts w:cs="Times New Roman"/>
              <w:szCs w:val="32"/>
              <w:lang w:eastAsia="zh-CN"/>
            </w:rPr>
            <w:fldChar w:fldCharType="separate"/>
          </w:r>
        </w:p>
        <w:p>
          <w:pPr>
            <w:pStyle w:val="7"/>
            <w:tabs>
              <w:tab w:val="right" w:pos="13991"/>
            </w:tabs>
            <w:rPr>
              <w:rFonts w:cs="Times New Roman"/>
              <w:szCs w:val="32"/>
            </w:rPr>
          </w:pPr>
          <w:r>
            <w:rPr>
              <w:rFonts w:cs="Times New Roman"/>
              <w:szCs w:val="32"/>
              <w:lang w:eastAsia="zh-CN"/>
            </w:rPr>
            <w:fldChar w:fldCharType="begin"/>
          </w:r>
          <w:r>
            <w:rPr>
              <w:rFonts w:cs="Times New Roman"/>
              <w:szCs w:val="32"/>
              <w:lang w:eastAsia="zh-CN"/>
            </w:rPr>
            <w:instrText xml:space="preserve"> HYPERLINK \l _Toc7634 </w:instrText>
          </w:r>
          <w:r>
            <w:rPr>
              <w:rFonts w:cs="Times New Roman"/>
              <w:szCs w:val="32"/>
              <w:lang w:eastAsia="zh-CN"/>
            </w:rPr>
            <w:fldChar w:fldCharType="separate"/>
          </w:r>
          <w:r>
            <w:rPr>
              <w:rFonts w:cs="Times New Roman"/>
              <w:szCs w:val="32"/>
              <w:lang w:eastAsia="zh-CN"/>
            </w:rPr>
            <w:t>基本</w:t>
          </w:r>
          <w:r>
            <w:rPr>
              <w:rFonts w:hint="eastAsia" w:cs="Times New Roman"/>
              <w:szCs w:val="32"/>
              <w:lang w:eastAsia="zh-CN"/>
            </w:rPr>
            <w:t>履职事项</w:t>
          </w:r>
          <w:r>
            <w:rPr>
              <w:rFonts w:cs="Times New Roman"/>
              <w:szCs w:val="32"/>
              <w:lang w:eastAsia="zh-CN"/>
            </w:rPr>
            <w:t>清单</w:t>
          </w:r>
          <w:r>
            <w:rPr>
              <w:rFonts w:cs="Times New Roman"/>
              <w:szCs w:val="32"/>
            </w:rPr>
            <w:tab/>
          </w:r>
          <w:r>
            <w:rPr>
              <w:rFonts w:cs="Times New Roman"/>
              <w:szCs w:val="32"/>
            </w:rPr>
            <w:fldChar w:fldCharType="begin"/>
          </w:r>
          <w:r>
            <w:rPr>
              <w:rFonts w:cs="Times New Roman"/>
              <w:szCs w:val="32"/>
            </w:rPr>
            <w:instrText xml:space="preserve"> PAGEREF _Toc7634 \h </w:instrText>
          </w:r>
          <w:r>
            <w:rPr>
              <w:rFonts w:cs="Times New Roman"/>
              <w:szCs w:val="32"/>
            </w:rPr>
            <w:fldChar w:fldCharType="separate"/>
          </w:r>
          <w:r>
            <w:rPr>
              <w:rFonts w:cs="Times New Roman"/>
              <w:szCs w:val="32"/>
            </w:rPr>
            <w:t>1</w:t>
          </w:r>
          <w:r>
            <w:rPr>
              <w:rFonts w:cs="Times New Roman"/>
              <w:szCs w:val="32"/>
            </w:rPr>
            <w:fldChar w:fldCharType="end"/>
          </w:r>
          <w:r>
            <w:rPr>
              <w:rFonts w:cs="Times New Roman"/>
              <w:szCs w:val="32"/>
              <w:lang w:eastAsia="zh-CN"/>
            </w:rPr>
            <w:fldChar w:fldCharType="end"/>
          </w:r>
        </w:p>
        <w:p>
          <w:pPr>
            <w:pStyle w:val="7"/>
            <w:tabs>
              <w:tab w:val="right" w:pos="13991"/>
            </w:tabs>
            <w:rPr>
              <w:rFonts w:cs="Times New Roman"/>
              <w:szCs w:val="32"/>
            </w:rPr>
          </w:pPr>
          <w:r>
            <w:rPr>
              <w:rFonts w:cs="Times New Roman"/>
              <w:szCs w:val="32"/>
              <w:lang w:eastAsia="zh-CN"/>
            </w:rPr>
            <w:fldChar w:fldCharType="begin"/>
          </w:r>
          <w:r>
            <w:rPr>
              <w:rFonts w:cs="Times New Roman"/>
              <w:szCs w:val="32"/>
              <w:lang w:eastAsia="zh-CN"/>
            </w:rPr>
            <w:instrText xml:space="preserve"> HYPERLINK \l _Toc29426 </w:instrText>
          </w:r>
          <w:r>
            <w:rPr>
              <w:rFonts w:cs="Times New Roman"/>
              <w:szCs w:val="32"/>
              <w:lang w:eastAsia="zh-CN"/>
            </w:rPr>
            <w:fldChar w:fldCharType="separate"/>
          </w:r>
          <w:r>
            <w:rPr>
              <w:rFonts w:cs="Times New Roman"/>
              <w:szCs w:val="32"/>
              <w:lang w:eastAsia="zh-CN"/>
            </w:rPr>
            <w:t>配合</w:t>
          </w:r>
          <w:r>
            <w:rPr>
              <w:rFonts w:hint="eastAsia" w:cs="Times New Roman"/>
              <w:szCs w:val="32"/>
              <w:lang w:eastAsia="zh-CN"/>
            </w:rPr>
            <w:t>履职事项</w:t>
          </w:r>
          <w:r>
            <w:rPr>
              <w:rFonts w:cs="Times New Roman"/>
              <w:szCs w:val="32"/>
              <w:lang w:eastAsia="zh-CN"/>
            </w:rPr>
            <w:t>清单</w:t>
          </w:r>
          <w:r>
            <w:rPr>
              <w:rFonts w:cs="Times New Roman"/>
              <w:szCs w:val="32"/>
            </w:rPr>
            <w:tab/>
          </w:r>
          <w:r>
            <w:rPr>
              <w:rFonts w:cs="Times New Roman"/>
              <w:szCs w:val="32"/>
            </w:rPr>
            <w:fldChar w:fldCharType="begin"/>
          </w:r>
          <w:r>
            <w:rPr>
              <w:rFonts w:cs="Times New Roman"/>
              <w:szCs w:val="32"/>
            </w:rPr>
            <w:instrText xml:space="preserve"> PAGEREF _Toc29426 \h </w:instrText>
          </w:r>
          <w:r>
            <w:rPr>
              <w:rFonts w:cs="Times New Roman"/>
              <w:szCs w:val="32"/>
            </w:rPr>
            <w:fldChar w:fldCharType="separate"/>
          </w:r>
          <w:r>
            <w:rPr>
              <w:rFonts w:cs="Times New Roman"/>
              <w:szCs w:val="32"/>
            </w:rPr>
            <w:t>14</w:t>
          </w:r>
          <w:r>
            <w:rPr>
              <w:rFonts w:cs="Times New Roman"/>
              <w:szCs w:val="32"/>
            </w:rPr>
            <w:fldChar w:fldCharType="end"/>
          </w:r>
          <w:r>
            <w:rPr>
              <w:rFonts w:cs="Times New Roman"/>
              <w:szCs w:val="32"/>
              <w:lang w:eastAsia="zh-CN"/>
            </w:rPr>
            <w:fldChar w:fldCharType="end"/>
          </w:r>
        </w:p>
        <w:p>
          <w:pPr>
            <w:pStyle w:val="7"/>
            <w:tabs>
              <w:tab w:val="right" w:pos="13991"/>
            </w:tabs>
            <w:rPr>
              <w:rFonts w:cs="Times New Roman"/>
              <w:szCs w:val="32"/>
            </w:rPr>
          </w:pPr>
          <w:r>
            <w:rPr>
              <w:rFonts w:cs="Times New Roman"/>
              <w:szCs w:val="32"/>
              <w:lang w:eastAsia="zh-CN"/>
            </w:rPr>
            <w:fldChar w:fldCharType="begin"/>
          </w:r>
          <w:r>
            <w:rPr>
              <w:rFonts w:cs="Times New Roman"/>
              <w:szCs w:val="32"/>
              <w:lang w:eastAsia="zh-CN"/>
            </w:rPr>
            <w:instrText xml:space="preserve"> HYPERLINK \l _Toc26878 </w:instrText>
          </w:r>
          <w:r>
            <w:rPr>
              <w:rFonts w:cs="Times New Roman"/>
              <w:szCs w:val="32"/>
              <w:lang w:eastAsia="zh-CN"/>
            </w:rPr>
            <w:fldChar w:fldCharType="separate"/>
          </w:r>
          <w:r>
            <w:rPr>
              <w:rFonts w:hint="eastAsia" w:cs="Times New Roman"/>
              <w:szCs w:val="32"/>
              <w:lang w:eastAsia="zh-CN"/>
            </w:rPr>
            <w:t>上级部门收回事项清单</w:t>
          </w:r>
          <w:r>
            <w:rPr>
              <w:rFonts w:cs="Times New Roman"/>
              <w:szCs w:val="32"/>
            </w:rPr>
            <w:tab/>
          </w:r>
          <w:r>
            <w:rPr>
              <w:rFonts w:cs="Times New Roman"/>
              <w:szCs w:val="32"/>
            </w:rPr>
            <w:fldChar w:fldCharType="begin"/>
          </w:r>
          <w:r>
            <w:rPr>
              <w:rFonts w:cs="Times New Roman"/>
              <w:szCs w:val="32"/>
            </w:rPr>
            <w:instrText xml:space="preserve"> PAGEREF _Toc26878 \h </w:instrText>
          </w:r>
          <w:r>
            <w:rPr>
              <w:rFonts w:cs="Times New Roman"/>
              <w:szCs w:val="32"/>
            </w:rPr>
            <w:fldChar w:fldCharType="separate"/>
          </w:r>
          <w:r>
            <w:rPr>
              <w:rFonts w:cs="Times New Roman"/>
              <w:szCs w:val="32"/>
            </w:rPr>
            <w:t>50</w:t>
          </w:r>
          <w:r>
            <w:rPr>
              <w:rFonts w:cs="Times New Roman"/>
              <w:szCs w:val="32"/>
            </w:rPr>
            <w:fldChar w:fldCharType="end"/>
          </w:r>
          <w:r>
            <w:rPr>
              <w:rFonts w:cs="Times New Roman"/>
              <w:szCs w:val="32"/>
              <w:lang w:eastAsia="zh-CN"/>
            </w:rPr>
            <w:fldChar w:fldCharType="end"/>
          </w:r>
        </w:p>
        <w:p>
          <w:pPr>
            <w:pStyle w:val="7"/>
            <w:numPr>
              <w:ilvl w:val="0"/>
              <w:numId w:val="0"/>
            </w:numPr>
            <w:tabs>
              <w:tab w:val="right" w:pos="13991"/>
            </w:tabs>
            <w:ind w:leftChars="0"/>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Fonts w:cs="Times New Roman"/>
              <w:szCs w:val="32"/>
              <w:lang w:eastAsia="zh-CN"/>
            </w:rPr>
            <w:fldChar w:fldCharType="end"/>
          </w:r>
        </w:p>
      </w:sdtContent>
    </w:sdt>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949"/>
      <w:bookmarkStart w:id="2" w:name="_Toc172077551"/>
      <w:bookmarkStart w:id="3" w:name="_Toc172077416"/>
      <w:bookmarkStart w:id="4" w:name="_Toc7634"/>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健全基层党组织领导的基层群众自治制度，指导村（居）民委员会、村（居）务监督委员会规范化建设，加强换届选举、村（居）民自治业务指导与监管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落实镇党代表任期制，推动党代表履职，做好党代表联络服务工作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负责村（社区）干部的选配、管理、培训、关怀、待遇和后备力量培育等相关工作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落实统战工作责任制，开展民主党派、无党派人士和党外知识分子、非公有制经济人士、新的社会阶层人士、港澳台同胞、华侨归侨侨眷统一战线工作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按要求选举人大代表，组织召开镇人民代表大会，组织人大代表开展视察调研，强化人大代表履职保障和服务工作，征集和办理人大代表建议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落实政治协商制度，支持保障政协委员进行民主监督和参政议政，做好委员联络服务和调研视察相关工作，办理政协委员提案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负责镇工会建设，开展职工文化活动、帮扶救助、权益维护、先进典型培育推荐等工作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以山歌传唱形式，推动清廉长安营建设</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负责工程项目招投标管理与实施，指导监督村级工程项目建设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指导监督村集体财务管理工作，代理村级财务的核算工作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开展人口普查、经济普查、农业普查等重大国情国力的统计调查工作，指导村（社区）开展普查、调查工作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负责未成年人保护工作，指导村（社区）加强未成年人保护，摸排孤儿、留守儿童、事实无人抚养的儿童，建立信息台账，做好基本生活保障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完善便民服务大厅集中服务模式，指导村为群众普及“一站式”服务流程，提供“一站式”便民服务，履行法律法规规定、上级依法下放的审批服务事项，提供帮办代办服务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负责镇域内网格划分和调整、网格员设立，落实民情走访、群防群治等网格化服务管理工作，提升群众安全感、满意度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负责涉及本镇行政复议案件的答复和行政诉讼案件的应诉工作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健全村（居）民自治制度，负责指导各村（居）制定村规民约和居民公约，推进移风易俗</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推动特色畜禽养殖发展并提供技术指导，对规模养殖场进行数据统计并上报，统筹管理村级防疫员并开展工作指导与考核评估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发展渔业，对相关产品信息进行统计上报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负责村集体“三资”监管，指导各村（社区）管理各类资产、资源、资金</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发展西红柿、辣椒、南山萝卜等高山延季蔬菜特色产业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发挥长安营虫茶基地“湖南省五星级乡村旅游点”示范作用，推动虫茶基地产旅融合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加速南山奶业发展，深入推进以南山奶业为主的农业产业强镇建设</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主动化解矛盾，做好镇职权范围内信访人员的疏导教育、帮扶救助、属地稳控和应急劝返等工作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负责安全生产宣传教育和日常巡查，指导企业、村（社区）落实安全生产责任，发现隐患及时上报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负责文化设备的日常运行管理工作，指导村（社区）“村村响”播放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负责保护好红军墓、“一条棉裤”等红色资源，支持修建红军兴隆桥，赓续传承红色基因</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打造“乡村联欢会”“长安夜话”等优质文化节目，鼓励和引导青年人才开设文化公司，推进民俗文化传承传播</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借助湖南卫视美食节目《去“湘”当有味的地方》拍摄推介机会，带动旅游发展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巩固深化第三届邵阳旅游发展大会南山分会场系列活动成果，进一步提升“一路山歌上南山”品牌价值</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支持举办“六月六山歌节”“将军节”“坝哪文化节”等传统节日活动，展现民族文化魅力</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镇防汛风险隐患点清单，组建抢险救援队伍，开展防汛演练，开展隐患排查，做好汛期值班值守、信息报送，转发气象预警，上报洪涝、积水情况，做好受灾群众转移安置、生产生活恢复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负责档案收集、整理、归档、移交工作，监督和指导村做好档案工作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950"/>
      <w:bookmarkStart w:id="6" w:name="_Toc29426"/>
      <w:bookmarkStart w:id="7" w:name="_Toc172077552"/>
      <w:bookmarkStart w:id="8"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166" w:type="dxa"/>
        <w:tblInd w:w="0" w:type="dxa"/>
        <w:tblLayout w:type="autofit"/>
        <w:tblCellMar>
          <w:top w:w="0" w:type="dxa"/>
          <w:left w:w="108" w:type="dxa"/>
          <w:bottom w:w="0" w:type="dxa"/>
          <w:right w:w="108" w:type="dxa"/>
        </w:tblCellMar>
      </w:tblPr>
      <w:tblGrid>
        <w:gridCol w:w="727"/>
        <w:gridCol w:w="1814"/>
        <w:gridCol w:w="1814"/>
        <w:gridCol w:w="5596"/>
        <w:gridCol w:w="4215"/>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抓好村级组织活动场所和基层党组织活动场所建设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1.加强对镇预算执行情况的内部监督，建立健全内部控制制度；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5.负责镇本级、村级项目及专项资金监管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配合上级部门做好本镇的经济指标数据统计、分析、监测、上报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由镇牵头组织实施的政府投资项目涉税征缴工作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负责村广播的管理和维护</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2.综合协调、指导本镇社会组织做好有关事项的服务管理工作；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559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421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trPr>
          <w:cantSplit/>
          <w:trHeight w:val="1790" w:hRule="atLeast"/>
        </w:trPr>
        <w:tc>
          <w:tcPr>
            <w:tcW w:w="727" w:type="dxa"/>
            <w:tcBorders>
              <w:top w:val="single" w:color="auto" w:sz="4" w:space="0"/>
              <w:left w:val="nil"/>
              <w:bottom w:val="nil"/>
              <w:right w:val="nil"/>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5596"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215"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r>
      <w:tr>
        <w:tblPrEx>
          <w:tblCellMar>
            <w:top w:w="0" w:type="dxa"/>
            <w:left w:w="108" w:type="dxa"/>
            <w:bottom w:w="0" w:type="dxa"/>
            <w:right w:w="108" w:type="dxa"/>
          </w:tblCellMar>
        </w:tblPrEx>
        <w:trPr>
          <w:cantSplit/>
          <w:trHeight w:val="1790" w:hRule="atLeast"/>
        </w:trPr>
        <w:tc>
          <w:tcPr>
            <w:tcW w:w="727" w:type="dxa"/>
            <w:tcBorders>
              <w:top w:val="nil"/>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5596"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4215"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1.开展监督检查，具体组织实施村庄容貌和环境卫生整治工作，制定环境卫生专项规划；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421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1.动员村开展畜禽和蜂遗传资源普查，摸清畜禽和蜂遗传资源的群体数量和区域分布情况，开展主要畜禽监测调查；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trPr>
          <w:cantSplit/>
          <w:trHeight w:val="1790" w:hRule="atLeast"/>
        </w:trPr>
        <w:tc>
          <w:tcPr>
            <w:tcW w:w="727" w:type="dxa"/>
            <w:tcBorders>
              <w:top w:val="single" w:color="auto" w:sz="4" w:space="0"/>
              <w:left w:val="nil"/>
              <w:bottom w:val="nil"/>
              <w:right w:val="nil"/>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5596"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215"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r>
      <w:tr>
        <w:tblPrEx>
          <w:tblCellMar>
            <w:top w:w="0" w:type="dxa"/>
            <w:left w:w="108" w:type="dxa"/>
            <w:bottom w:w="0" w:type="dxa"/>
            <w:right w:w="108" w:type="dxa"/>
          </w:tblCellMar>
        </w:tblPrEx>
        <w:trPr>
          <w:cantSplit/>
          <w:trHeight w:val="1790" w:hRule="atLeast"/>
        </w:trPr>
        <w:tc>
          <w:tcPr>
            <w:tcW w:w="727" w:type="dxa"/>
            <w:tcBorders>
              <w:top w:val="nil"/>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bookmarkStart w:id="13" w:name="_GoBack"/>
            <w:bookmarkEnd w:id="13"/>
            <w:r>
              <w:rPr>
                <w:rFonts w:hint="eastAsia" w:ascii="Times New Roman" w:hAnsi="方正公文仿宋" w:eastAsia="方正公文仿宋"/>
                <w:kern w:val="0"/>
                <w:szCs w:val="21"/>
                <w:lang w:bidi="ar"/>
              </w:rPr>
              <w:t>45</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4215"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开展保护古树名木的宣传教育，增强公众保护意识，加强科学研究和技术推广，提高古树名木保护管理水平</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协助开展古树名木的保护工作，发现盗伐、破坏行为及时制止并上报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落实易地扶贫搬迁后续扶持工作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（牵头）县发展和改革局、县教育局、县民政局、县卫生健康局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1.县发展和改革局全面掌握易地搬迁后续扶持工作进展情况；负责推动产业项目建设；完善基础设施与公共服务；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2.县教育局合理设置安置点教育机构，保障搬迁群众子女就近就学；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3.县民政局落实低保、医保等兜底政策，保障搬迁群众合法权益；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4.县卫生健康局优化医疗资源配置，保障搬迁群众卫生健康需求</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配合易地搬迁扶贫后续扶持督查，核实政策落实情况等</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559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421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trPr>
          <w:cantSplit/>
          <w:trHeight w:val="1790" w:hRule="atLeast"/>
        </w:trPr>
        <w:tc>
          <w:tcPr>
            <w:tcW w:w="727" w:type="dxa"/>
            <w:tcBorders>
              <w:top w:val="single" w:color="auto" w:sz="4" w:space="0"/>
              <w:left w:val="nil"/>
              <w:bottom w:val="single" w:color="auto" w:sz="4" w:space="0"/>
              <w:right w:val="nil"/>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bidi="ar"/>
              </w:rPr>
            </w:pPr>
          </w:p>
        </w:tc>
        <w:tc>
          <w:tcPr>
            <w:tcW w:w="1814" w:type="dxa"/>
            <w:tcBorders>
              <w:top w:val="single" w:color="auto" w:sz="4" w:space="0"/>
              <w:left w:val="nil"/>
              <w:bottom w:val="single" w:color="auto" w:sz="4" w:space="0"/>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1814" w:type="dxa"/>
            <w:tcBorders>
              <w:top w:val="single" w:color="auto" w:sz="4" w:space="0"/>
              <w:left w:val="nil"/>
              <w:bottom w:val="single" w:color="auto" w:sz="4" w:space="0"/>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5596" w:type="dxa"/>
            <w:tcBorders>
              <w:top w:val="single" w:color="auto" w:sz="4" w:space="0"/>
              <w:left w:val="nil"/>
              <w:bottom w:val="single" w:color="auto" w:sz="4" w:space="0"/>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215" w:type="dxa"/>
            <w:tcBorders>
              <w:top w:val="single" w:color="auto" w:sz="4" w:space="0"/>
              <w:left w:val="nil"/>
              <w:bottom w:val="single" w:color="auto" w:sz="4" w:space="0"/>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nil"/>
              <w:bottom w:val="nil"/>
              <w:right w:val="nil"/>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5596"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215"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r>
      <w:tr>
        <w:tblPrEx>
          <w:tblCellMar>
            <w:top w:w="0" w:type="dxa"/>
            <w:left w:w="108" w:type="dxa"/>
            <w:bottom w:w="0" w:type="dxa"/>
            <w:right w:w="108" w:type="dxa"/>
          </w:tblCellMar>
        </w:tblPrEx>
        <w:trPr>
          <w:cantSplit/>
          <w:trHeight w:val="1790" w:hRule="atLeast"/>
        </w:trPr>
        <w:tc>
          <w:tcPr>
            <w:tcW w:w="727" w:type="dxa"/>
            <w:tcBorders>
              <w:top w:val="nil"/>
              <w:left w:val="single" w:color="000000" w:sz="4" w:space="0"/>
              <w:bottom w:val="single" w:color="auto"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nil"/>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1814" w:type="dxa"/>
            <w:tcBorders>
              <w:top w:val="nil"/>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5596" w:type="dxa"/>
            <w:tcBorders>
              <w:top w:val="nil"/>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4215" w:type="dxa"/>
            <w:tcBorders>
              <w:top w:val="nil"/>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协助上级部门调解、处理本镇和跨乡镇的土地、山林、水利权属及用水纠纷</w:t>
            </w:r>
          </w:p>
        </w:tc>
      </w:tr>
      <w:tr>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负责组织整合优化县域范围内现有各类生态护林员，在统一划定管理网格的基础上，按照“县建、乡管、村用”的要求，组建统一规范的综合护林队伍</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由镇人民政府对生态护林员进行聘用和统一管理</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nil"/>
              <w:bottom w:val="nil"/>
              <w:right w:val="nil"/>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5596"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215"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r>
      <w:tr>
        <w:tblPrEx>
          <w:tblCellMar>
            <w:top w:w="0" w:type="dxa"/>
            <w:left w:w="108" w:type="dxa"/>
            <w:bottom w:w="0" w:type="dxa"/>
            <w:right w:w="108" w:type="dxa"/>
          </w:tblCellMar>
        </w:tblPrEx>
        <w:trPr>
          <w:cantSplit/>
          <w:trHeight w:val="1790" w:hRule="atLeast"/>
        </w:trPr>
        <w:tc>
          <w:tcPr>
            <w:tcW w:w="727" w:type="dxa"/>
            <w:tcBorders>
              <w:top w:val="nil"/>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596"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4215"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开展失地农民进保工作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1.负责制订被征地农民社会保障办法和被征地社会保障实施意见；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2.组织开展失地农民进保工作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1.开展失地农民摸底；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2.开展失地农民进保前期资料的审核</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2.负责本镇城乡两险征收服务工作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59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421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auto" w:sz="4" w:space="0"/>
              <w:left w:val="nil"/>
              <w:bottom w:val="nil"/>
              <w:right w:val="nil"/>
            </w:tcBorders>
            <w:shd w:val="clear" w:color="auto" w:fill="auto"/>
            <w:vAlign w:val="center"/>
          </w:tcPr>
          <w:p>
            <w:pPr>
              <w:widowControl/>
              <w:spacing w:before="0" w:beforeLines="0" w:after="0" w:afterLines="0"/>
              <w:jc w:val="left"/>
              <w:textAlignment w:val="auto"/>
              <w:rPr>
                <w:rStyle w:val="16"/>
                <w:rFonts w:hint="eastAsia" w:ascii="Times New Roman" w:hAnsi="方正公文黑体" w:eastAsia="方正公文黑体"/>
                <w:color w:val="auto"/>
                <w:lang w:bidi="ar"/>
              </w:rPr>
            </w:pPr>
          </w:p>
        </w:tc>
      </w:tr>
      <w:tr>
        <w:tblPrEx>
          <w:tblCellMar>
            <w:top w:w="0" w:type="dxa"/>
            <w:left w:w="108" w:type="dxa"/>
            <w:bottom w:w="0" w:type="dxa"/>
            <w:right w:w="108" w:type="dxa"/>
          </w:tblCellMar>
        </w:tblPrEx>
        <w:trPr>
          <w:cantSplit/>
          <w:trHeight w:val="480" w:hRule="atLeast"/>
        </w:trPr>
        <w:tc>
          <w:tcPr>
            <w:tcW w:w="14166" w:type="dxa"/>
            <w:gridSpan w:val="5"/>
            <w:tcBorders>
              <w:top w:val="nil"/>
              <w:left w:val="nil"/>
              <w:bottom w:val="nil"/>
              <w:right w:val="nil"/>
            </w:tcBorders>
            <w:shd w:val="clear" w:color="auto" w:fill="auto"/>
            <w:vAlign w:val="center"/>
          </w:tcPr>
          <w:p>
            <w:pPr>
              <w:widowControl/>
              <w:spacing w:before="0" w:beforeLines="0" w:after="0" w:afterLines="0"/>
              <w:jc w:val="left"/>
              <w:textAlignment w:val="auto"/>
              <w:rPr>
                <w:rStyle w:val="16"/>
                <w:rFonts w:hint="eastAsia" w:ascii="Times New Roman" w:hAnsi="方正公文黑体" w:eastAsia="方正公文黑体"/>
                <w:color w:val="auto"/>
                <w:lang w:bidi="ar"/>
              </w:rPr>
            </w:pPr>
          </w:p>
        </w:tc>
      </w:tr>
      <w:tr>
        <w:trPr>
          <w:cantSplit/>
          <w:trHeight w:val="1790" w:hRule="atLeast"/>
        </w:trPr>
        <w:tc>
          <w:tcPr>
            <w:tcW w:w="727" w:type="dxa"/>
            <w:tcBorders>
              <w:top w:val="nil"/>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96"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4215"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需建立镇耕地后备资源动态巡查机制，定期检查土地开发、利用状况；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8.负责本镇内恢复耕地的日常监管，防止非法占用耕地、破坏耕地等行为的发生</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2.需提供本镇内土地资源的相关信息，协助确定可用于补充耕地的地块；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4.负责本镇内补充耕地的日常监管，防止非法占用耕地、破坏耕地等行为的发生</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负责废弃矿山图斑生态修复后的管护</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9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421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3.组织村民参与管护；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nil"/>
              <w:bottom w:val="nil"/>
              <w:right w:val="nil"/>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5596"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215"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r>
      <w:tr>
        <w:trPr>
          <w:cantSplit/>
          <w:trHeight w:val="1790" w:hRule="atLeast"/>
        </w:trPr>
        <w:tc>
          <w:tcPr>
            <w:tcW w:w="727" w:type="dxa"/>
            <w:tcBorders>
              <w:top w:val="nil"/>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96"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4215"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9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421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trPr>
          <w:cantSplit/>
          <w:trHeight w:val="1790" w:hRule="atLeast"/>
        </w:trPr>
        <w:tc>
          <w:tcPr>
            <w:tcW w:w="727" w:type="dxa"/>
            <w:tcBorders>
              <w:top w:val="single" w:color="auto" w:sz="4" w:space="0"/>
              <w:left w:val="nil"/>
              <w:bottom w:val="nil"/>
              <w:right w:val="nil"/>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5596"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215"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r>
      <w:tr>
        <w:tblPrEx>
          <w:tblCellMar>
            <w:top w:w="0" w:type="dxa"/>
            <w:left w:w="108" w:type="dxa"/>
            <w:bottom w:w="0" w:type="dxa"/>
            <w:right w:w="108" w:type="dxa"/>
          </w:tblCellMar>
        </w:tblPrEx>
        <w:trPr>
          <w:cantSplit/>
          <w:trHeight w:val="1790" w:hRule="atLeast"/>
        </w:trPr>
        <w:tc>
          <w:tcPr>
            <w:tcW w:w="727" w:type="dxa"/>
            <w:tcBorders>
              <w:top w:val="nil"/>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5596"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4215"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十一、生态环保（7项）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开展南山国家公园生态保护工作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湖南南山国家公园管理局、县自然资源局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1.湖南南山国家公园管理局负责国家公园范围内的生态保护、自然资源资产管理、人文资源保护、特许经营管理、国土空间规划编制、社会参与管理、宣传推介等管理职责；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2.县自然资源局负责生态红线违法图斑的核实、整改、处置、举证等工作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1.配合做好南山国家公园创建工作；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2.配合南山国家公园管理局履行国家公园保护和管理职责、配合做好国家公园生态保护、自然资源资产管理、特许经营、社区发展、宣传推介等工作；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3.配合进行执法，建立联防联控机制、配合做好国家公园内自然灾害预警、野生动物致害、核心区域限制人为活动等监管工作；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4.协助成立南山国家公园社区共管委员会、引导社区发展绿色、可持续的生产生活方式；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5.配合加强国家公园保护管理、法规政策、综合防灾减灾等工作的宣传教育，增强公众的责任意识和保护意识</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1.协助做好本镇的畜禽养殖污染防治工作；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559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421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nil"/>
              <w:bottom w:val="nil"/>
              <w:right w:val="nil"/>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5596"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215"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r>
      <w:tr>
        <w:trPr>
          <w:cantSplit/>
          <w:trHeight w:val="1790" w:hRule="atLeast"/>
        </w:trPr>
        <w:tc>
          <w:tcPr>
            <w:tcW w:w="727" w:type="dxa"/>
            <w:tcBorders>
              <w:top w:val="nil"/>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5596"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4215"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59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421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tblPrEx>
          <w:tblCellMar>
            <w:top w:w="0" w:type="dxa"/>
            <w:left w:w="108" w:type="dxa"/>
            <w:bottom w:w="0" w:type="dxa"/>
            <w:right w:w="108" w:type="dxa"/>
          </w:tblCellMar>
        </w:tblPrEx>
        <w:trPr>
          <w:cantSplit/>
          <w:trHeight w:val="1790" w:hRule="atLeast"/>
        </w:trPr>
        <w:tc>
          <w:tcPr>
            <w:tcW w:w="727" w:type="dxa"/>
            <w:tcBorders>
              <w:top w:val="nil"/>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596"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4215"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十四、卫生健康（5项）</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2.做好村防控工作</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1.县应急管理局负责非煤矿山安全设施设计审查，非煤矿山建设项目验收活动和验收结果监督核查，按照监督检查计划，对非煤矿山进行监督检查；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2.县自然资源局负责制定检查计划、方案，组织开展日常排查，及时开展处置工作，对违法行为责令限期改正或治理，开展相关执法工作，督导整改落实情况</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59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21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tblPrEx>
          <w:tblCellMar>
            <w:top w:w="0" w:type="dxa"/>
            <w:left w:w="108" w:type="dxa"/>
            <w:bottom w:w="0" w:type="dxa"/>
            <w:right w:w="108" w:type="dxa"/>
          </w:tblCellMar>
        </w:tblPrEx>
        <w:trPr>
          <w:cantSplit/>
          <w:trHeight w:val="1790" w:hRule="atLeast"/>
        </w:trPr>
        <w:tc>
          <w:tcPr>
            <w:tcW w:w="727" w:type="dxa"/>
            <w:tcBorders>
              <w:top w:val="single" w:color="auto" w:sz="4" w:space="0"/>
              <w:left w:val="nil"/>
              <w:bottom w:val="nil"/>
              <w:right w:val="nil"/>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bidi="ar"/>
              </w:rPr>
            </w:pPr>
          </w:p>
          <w:p>
            <w:pPr>
              <w:pStyle w:val="2"/>
              <w:rPr>
                <w:rFonts w:hint="eastAsia"/>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1814"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5596"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215" w:type="dxa"/>
            <w:tcBorders>
              <w:top w:val="single" w:color="auto" w:sz="4" w:space="0"/>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r>
      <w:tr>
        <w:trPr>
          <w:cantSplit/>
          <w:trHeight w:val="1790" w:hRule="atLeast"/>
        </w:trPr>
        <w:tc>
          <w:tcPr>
            <w:tcW w:w="727" w:type="dxa"/>
            <w:tcBorders>
              <w:top w:val="nil"/>
              <w:left w:val="nil"/>
              <w:bottom w:val="nil"/>
              <w:right w:val="nil"/>
            </w:tcBorders>
            <w:shd w:val="clear" w:color="auto" w:fill="auto"/>
            <w:noWrap/>
            <w:vAlign w:val="center"/>
          </w:tcPr>
          <w:p>
            <w:pPr>
              <w:pStyle w:val="2"/>
              <w:rPr>
                <w:rFonts w:hint="eastAsia"/>
              </w:rPr>
            </w:pPr>
          </w:p>
        </w:tc>
        <w:tc>
          <w:tcPr>
            <w:tcW w:w="1814" w:type="dxa"/>
            <w:tcBorders>
              <w:top w:val="nil"/>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1814" w:type="dxa"/>
            <w:tcBorders>
              <w:top w:val="nil"/>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5596" w:type="dxa"/>
            <w:tcBorders>
              <w:top w:val="nil"/>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215" w:type="dxa"/>
            <w:tcBorders>
              <w:top w:val="nil"/>
              <w:left w:val="nil"/>
              <w:bottom w:val="nil"/>
              <w:right w:val="nil"/>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p>
        </w:tc>
      </w:tr>
      <w:tr>
        <w:tblPrEx>
          <w:tblCellMar>
            <w:top w:w="0" w:type="dxa"/>
            <w:left w:w="108" w:type="dxa"/>
            <w:bottom w:w="0" w:type="dxa"/>
            <w:right w:w="108" w:type="dxa"/>
          </w:tblCellMar>
        </w:tblPrEx>
        <w:trPr>
          <w:cantSplit/>
          <w:trHeight w:val="1790" w:hRule="atLeast"/>
        </w:trPr>
        <w:tc>
          <w:tcPr>
            <w:tcW w:w="727" w:type="dxa"/>
            <w:tcBorders>
              <w:top w:val="nil"/>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5596"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4215" w:type="dxa"/>
            <w:tcBorders>
              <w:top w:val="nil"/>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tblPrEx>
          <w:tblCellMar>
            <w:top w:w="0" w:type="dxa"/>
            <w:left w:w="108" w:type="dxa"/>
            <w:bottom w:w="0" w:type="dxa"/>
            <w:right w:w="108" w:type="dxa"/>
          </w:tblCellMar>
        </w:tblPrEx>
        <w:trPr>
          <w:cantSplit/>
          <w:trHeight w:val="480" w:hRule="atLeast"/>
        </w:trPr>
        <w:tc>
          <w:tcPr>
            <w:tcW w:w="1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5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3.及时完成镇本级及指导所辖村（社区）政务服务事项的梳理配置发布工作；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26878"/>
      <w:bookmarkStart w:id="10" w:name="_Toc172077553"/>
      <w:bookmarkStart w:id="11" w:name="_Toc172077418"/>
      <w:bookmarkStart w:id="12" w:name="_Toc172077951"/>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畜禽品种改良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县财政局：负责出具村民办理耕地地力保护补贴新开户证明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发放春季、秋季雨露计划职业学历教育补助资金、公益性岗位工资发放，阳光系统信息录入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县农业农村局：负责对从事畜禽规模养殖未及时收集、贮存、利用或者处置养殖过程中产生的畜禽粪污等固体废物的处罚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负责审批河道管理范围内的活动，开展管控红线内宅基地的审批与管理；拆除碍洪建（构）筑物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负责南山国有土地的建设、利用和审批（房屋扩建、改建、新建等）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对乡村医师聘用、村卫生室建设管理考核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县农业农村局：负责小型水库安全监督和防汛监督管理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十七、投资促进（1项）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_GBK"/>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文泉驿等宽正黑">
    <w:panose1 w:val="02000603000000000000"/>
    <w:charset w:val="86"/>
    <w:family w:val="auto"/>
    <w:pitch w:val="default"/>
    <w:sig w:usb0="900002BF" w:usb1="2BDF7DFB" w:usb2="00000036" w:usb3="00000000" w:csb0="603E000D" w:csb1="D2D7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等线 Light">
    <w:altName w:val="Cloister Black"/>
    <w:panose1 w:val="00000000000000000000"/>
    <w:charset w:val="00"/>
    <w:family w:val="auto"/>
    <w:pitch w:val="default"/>
    <w:sig w:usb0="00000000" w:usb1="00000000" w:usb2="00000000" w:usb3="00000000" w:csb0="00000000" w:csb1="00000000"/>
  </w:font>
  <w:font w:name="Cloister Black">
    <w:panose1 w:val="00000400000000000000"/>
    <w:charset w:val="00"/>
    <w:family w:val="auto"/>
    <w:pitch w:val="default"/>
    <w:sig w:usb0="8000002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zNWU4NzQ0MDBlM2ExZWY3Y2IzM2Q5ZTkwYWEyM2U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95534C6"/>
    <w:rsid w:val="22393E18"/>
    <w:rsid w:val="425446C0"/>
    <w:rsid w:val="7EC5F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33721</Words>
  <Characters>34676</Characters>
  <Lines>1</Lines>
  <Paragraphs>1</Paragraphs>
  <TotalTime>30</TotalTime>
  <ScaleCrop>false</ScaleCrop>
  <LinksUpToDate>false</LinksUpToDate>
  <CharactersWithSpaces>34691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kylin</cp:lastModifiedBy>
  <dcterms:modified xsi:type="dcterms:W3CDTF">2025-07-04T09:17:08Z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2CA9B6CB1E1345F89CECBAC9976F9AE6_13</vt:lpwstr>
  </property>
</Properties>
</file>