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4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>城环评（20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460" w:lineRule="exact"/>
        <w:jc w:val="center"/>
        <w:rPr>
          <w:rFonts w:hint="default" w:ascii="宋体" w:hAnsi="宋体"/>
          <w:b/>
          <w:sz w:val="36"/>
          <w:szCs w:val="36"/>
          <w:lang w:val="en-US"/>
        </w:rPr>
      </w:pPr>
    </w:p>
    <w:p>
      <w:pPr>
        <w:spacing w:line="460" w:lineRule="exact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关于城步苗族自治县城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北</w:t>
      </w:r>
      <w:r>
        <w:rPr>
          <w:rFonts w:hint="eastAsia" w:ascii="宋体" w:hAnsi="宋体"/>
          <w:b/>
          <w:sz w:val="36"/>
          <w:szCs w:val="36"/>
        </w:rPr>
        <w:t>污水处理厂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工程</w:t>
      </w:r>
    </w:p>
    <w:p>
      <w:pPr>
        <w:spacing w:line="4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环境影响报告表的批复</w:t>
      </w:r>
    </w:p>
    <w:p>
      <w:pPr>
        <w:spacing w:line="460" w:lineRule="exact"/>
        <w:rPr>
          <w:rFonts w:hint="eastAsia" w:ascii="仿宋" w:hAnsi="仿宋" w:eastAsia="仿宋"/>
          <w:sz w:val="10"/>
          <w:szCs w:val="10"/>
        </w:rPr>
      </w:pPr>
    </w:p>
    <w:p>
      <w:pPr>
        <w:spacing w:line="4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城步苗族自治县</w:t>
      </w:r>
      <w:r>
        <w:rPr>
          <w:rFonts w:hint="eastAsia" w:ascii="仿宋" w:hAnsi="仿宋" w:eastAsia="仿宋"/>
          <w:sz w:val="30"/>
          <w:szCs w:val="30"/>
          <w:lang w:eastAsia="zh-CN"/>
        </w:rPr>
        <w:t>住房和城乡</w:t>
      </w:r>
      <w:r>
        <w:rPr>
          <w:rFonts w:hint="eastAsia" w:ascii="仿宋" w:hAnsi="仿宋" w:eastAsia="仿宋"/>
          <w:sz w:val="30"/>
          <w:szCs w:val="30"/>
        </w:rPr>
        <w:t>建设局：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你单位报送的《城步苗族自治县城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北</w:t>
      </w:r>
      <w:r>
        <w:rPr>
          <w:rFonts w:hint="eastAsia" w:ascii="仿宋" w:hAnsi="仿宋" w:eastAsia="仿宋"/>
          <w:sz w:val="30"/>
          <w:szCs w:val="30"/>
        </w:rPr>
        <w:t>污水处理厂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环境影响报告表》及相关材料均已收悉，经审查，现批复如下：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一、城步县城北污水</w:t>
      </w:r>
      <w:r>
        <w:rPr>
          <w:rFonts w:hint="eastAsia" w:ascii="仿宋" w:hAnsi="仿宋" w:eastAsia="仿宋"/>
          <w:sz w:val="30"/>
          <w:szCs w:val="30"/>
          <w:lang w:eastAsia="zh-CN"/>
        </w:rPr>
        <w:t>处理厂</w:t>
      </w:r>
      <w:r>
        <w:rPr>
          <w:rFonts w:hint="eastAsia" w:ascii="仿宋" w:hAnsi="仿宋" w:eastAsia="仿宋"/>
          <w:sz w:val="30"/>
          <w:szCs w:val="30"/>
        </w:rPr>
        <w:t>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厂</w:t>
      </w:r>
      <w:r>
        <w:rPr>
          <w:rFonts w:hint="eastAsia" w:ascii="仿宋" w:hAnsi="仿宋" w:eastAsia="仿宋"/>
          <w:sz w:val="30"/>
          <w:szCs w:val="30"/>
        </w:rPr>
        <w:t>址拟定于黔峰路与白云大道交汇处</w:t>
      </w:r>
      <w:r>
        <w:rPr>
          <w:rFonts w:hint="eastAsia" w:ascii="仿宋" w:hAnsi="仿宋" w:eastAsia="仿宋"/>
          <w:sz w:val="30"/>
          <w:szCs w:val="30"/>
          <w:lang w:eastAsia="zh-CN"/>
        </w:rPr>
        <w:t>左下</w:t>
      </w:r>
      <w:r>
        <w:rPr>
          <w:rFonts w:hint="eastAsia" w:ascii="仿宋" w:hAnsi="仿宋" w:eastAsia="仿宋"/>
          <w:sz w:val="30"/>
          <w:szCs w:val="30"/>
        </w:rPr>
        <w:t>角，城北污水</w:t>
      </w:r>
      <w:r>
        <w:rPr>
          <w:rFonts w:hint="eastAsia" w:ascii="仿宋" w:hAnsi="仿宋" w:eastAsia="仿宋"/>
          <w:sz w:val="30"/>
          <w:szCs w:val="30"/>
          <w:lang w:eastAsia="zh-CN"/>
        </w:rPr>
        <w:t>处理厂</w:t>
      </w:r>
      <w:r>
        <w:rPr>
          <w:rFonts w:hint="eastAsia" w:ascii="仿宋" w:hAnsi="仿宋" w:eastAsia="仿宋"/>
          <w:sz w:val="30"/>
          <w:szCs w:val="30"/>
        </w:rPr>
        <w:t>占地面积为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6674.32</w:t>
      </w:r>
      <w:r>
        <w:rPr>
          <w:rFonts w:hint="eastAsia" w:ascii="仿宋" w:hAnsi="仿宋" w:eastAsia="仿宋"/>
          <w:sz w:val="30"/>
          <w:szCs w:val="30"/>
        </w:rPr>
        <w:t>m</w:t>
      </w:r>
      <w:r>
        <w:rPr>
          <w:rFonts w:hint="eastAsia" w:ascii="仿宋" w:hAnsi="仿宋" w:eastAsia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/>
          <w:sz w:val="30"/>
          <w:szCs w:val="30"/>
        </w:rPr>
        <w:t>（合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.0亩）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项目设计处理规模1万吨/天，</w:t>
      </w:r>
      <w:r>
        <w:rPr>
          <w:rFonts w:hint="eastAsia" w:ascii="仿宋" w:hAnsi="仿宋" w:eastAsia="仿宋"/>
          <w:sz w:val="30"/>
          <w:szCs w:val="30"/>
        </w:rPr>
        <w:t>项目总估算为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1484.04</w:t>
      </w:r>
      <w:r>
        <w:rPr>
          <w:rFonts w:hint="eastAsia" w:ascii="仿宋" w:hAnsi="仿宋" w:eastAsia="仿宋"/>
          <w:sz w:val="30"/>
          <w:szCs w:val="30"/>
        </w:rPr>
        <w:t>万元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邵阳荣泰环保科技有限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公司编</w:t>
      </w:r>
      <w:r>
        <w:rPr>
          <w:rFonts w:hint="eastAsia" w:ascii="仿宋" w:hAnsi="仿宋" w:eastAsia="仿宋"/>
          <w:sz w:val="30"/>
          <w:szCs w:val="30"/>
        </w:rPr>
        <w:t>制的环境影响报告表分析结论，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在建设单位认真落实环评报告提出的各项污染防治措施前提下，从环境保护角度，同意该项目建设。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二、在项目设计、建设和运营管理中，应严格执行环保“三同时”制度，并做好以下几项工作：</w:t>
      </w:r>
    </w:p>
    <w:p>
      <w:pPr>
        <w:pStyle w:val="7"/>
        <w:spacing w:line="460" w:lineRule="exact"/>
        <w:ind w:firstLine="546" w:firstLineChars="182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加强施工期环境管理。优化项目建设方案，工程合理规划布局。对各施工场地进行挡护，保持场地车辆畅通，控制燃油机械和汽车尾气排放；施工物料覆盖运输及堆置，现场采取洒水降尘措施。选用低噪声施工机械设备，靠环境敏感点面设置临时声屏障，禁止高噪声设备夜间施工，建筑施工噪声符合《建筑施工场界环境噪声排放标准》（GB12523-2011）。修建废水隔油沉淀池，对施工废水进行沉淀处理回用于降尘和工程养护。优化土石方平衡，施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GB"/>
        </w:rPr>
        <w:t>弃土和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建筑垃圾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GB"/>
        </w:rPr>
        <w:t>分别运送建设部门规定地点处置，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采取封闭运输措施。</w:t>
      </w:r>
    </w:p>
    <w:p>
      <w:pPr>
        <w:pStyle w:val="7"/>
        <w:spacing w:line="460" w:lineRule="exact"/>
        <w:ind w:firstLine="0" w:firstLineChars="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2、</w:t>
      </w:r>
      <w:r>
        <w:rPr>
          <w:rFonts w:hint="eastAsia" w:ascii="仿宋" w:hAnsi="仿宋" w:eastAsia="仿宋" w:cs="仿宋"/>
          <w:sz w:val="30"/>
          <w:szCs w:val="30"/>
        </w:rPr>
        <w:t>做好生态保护工作。工程施工营地和临时占地应避开环境敏感点，临时用地及时进行恢复，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保护好区域生态环境。</w:t>
      </w:r>
    </w:p>
    <w:p>
      <w:pPr>
        <w:pStyle w:val="7"/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强化水污染防治。规范建设污水处理工程，采取合理高效污水处理技术，确保污水处理出水水质达到《城镇污水处理厂污染物排放标准》（GB18918-2002）一级A标准。厂区设置一个规范化尾水排放口，安装污水流量计和pH、COD、氨氮在线监测设施，并与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生态环境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部门监控系统联网。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控制废气污染物排放。优化项目平面布局，恶臭源须远离居民点。项目对污水处理过程中产生的恶臭气体外排须符合《恶臭污染物排放标准》（GB14554-93）表2标准。加强厂区绿化，确保厂界废气污染物符合《城镇污水处理厂污染物排放标准》（GB18918-2002）废气排放标准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5、加强噪声控制管理。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工程合理布置，污水泵、污泥泵、污泥脱水机、风机等设备采取相应减振、消音、隔声等降噪措施，确保厂界噪声达到《工业企业厂界环境噪声排放标准》（GB12348-2008）中的3类标准。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6、固体废物妥善处置。污泥如属于一般固体废物，经压滤脱水后和栅渣、沉砂及生活垃圾分类收集，运送县城生活垃圾填埋场卫生填埋处理，运输污泥车辆采用封闭式运输，不得产生二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次污染。一般固体废物临时堆放场应采取防雨淋和防流失措施。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7、加强企业运营管理。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建立健全生产与环境管理制度，保障污染防治设施正常运行；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实行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清洁生产，全过程控制污染，减少污染物产生与排放量。制定环境应急预案，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切实落实风险防范措施，禁止污染物非正常排放。</w:t>
      </w:r>
    </w:p>
    <w:p>
      <w:pPr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三、项目建设必须严格执行环境保护“三同时”制度，竣工后应自主组织竣工环境保护验收。</w:t>
      </w: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邵阳市生态环境局城步分</w:t>
      </w:r>
      <w:r>
        <w:rPr>
          <w:rFonts w:hint="eastAsia" w:ascii="仿宋" w:hAnsi="仿宋" w:eastAsia="仿宋"/>
          <w:color w:val="000000"/>
          <w:sz w:val="30"/>
          <w:szCs w:val="30"/>
        </w:rPr>
        <w:t>局</w:t>
      </w:r>
    </w:p>
    <w:p>
      <w:pPr>
        <w:spacing w:line="460" w:lineRule="exact"/>
        <w:ind w:firstLine="600" w:firstLineChars="2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日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D1"/>
    <w:rsid w:val="00067ED1"/>
    <w:rsid w:val="00084F49"/>
    <w:rsid w:val="000A228D"/>
    <w:rsid w:val="000A5FAB"/>
    <w:rsid w:val="000A76FA"/>
    <w:rsid w:val="000C7F9D"/>
    <w:rsid w:val="00104B4B"/>
    <w:rsid w:val="00105A5F"/>
    <w:rsid w:val="00111CC2"/>
    <w:rsid w:val="0012460D"/>
    <w:rsid w:val="00143395"/>
    <w:rsid w:val="00153829"/>
    <w:rsid w:val="00167D41"/>
    <w:rsid w:val="001B3765"/>
    <w:rsid w:val="00217216"/>
    <w:rsid w:val="00234E77"/>
    <w:rsid w:val="002453B9"/>
    <w:rsid w:val="00281B0B"/>
    <w:rsid w:val="002A2E46"/>
    <w:rsid w:val="002A476B"/>
    <w:rsid w:val="002A5F1F"/>
    <w:rsid w:val="002B37E8"/>
    <w:rsid w:val="002C7A39"/>
    <w:rsid w:val="0030365B"/>
    <w:rsid w:val="0037406B"/>
    <w:rsid w:val="00384091"/>
    <w:rsid w:val="00385CFB"/>
    <w:rsid w:val="00451E13"/>
    <w:rsid w:val="00473D17"/>
    <w:rsid w:val="00477CD8"/>
    <w:rsid w:val="00523CBD"/>
    <w:rsid w:val="00525BA3"/>
    <w:rsid w:val="005457F7"/>
    <w:rsid w:val="005758A2"/>
    <w:rsid w:val="005908CE"/>
    <w:rsid w:val="005D3483"/>
    <w:rsid w:val="005E16E5"/>
    <w:rsid w:val="006069A6"/>
    <w:rsid w:val="0061223A"/>
    <w:rsid w:val="00645DC0"/>
    <w:rsid w:val="00652991"/>
    <w:rsid w:val="00692C8C"/>
    <w:rsid w:val="006C06EE"/>
    <w:rsid w:val="006F5816"/>
    <w:rsid w:val="00702AC6"/>
    <w:rsid w:val="00713D64"/>
    <w:rsid w:val="00731643"/>
    <w:rsid w:val="00737F34"/>
    <w:rsid w:val="00765E38"/>
    <w:rsid w:val="007D6EBF"/>
    <w:rsid w:val="007F4B0A"/>
    <w:rsid w:val="008006ED"/>
    <w:rsid w:val="0081462E"/>
    <w:rsid w:val="008279B4"/>
    <w:rsid w:val="00832743"/>
    <w:rsid w:val="00854C3D"/>
    <w:rsid w:val="00861DC8"/>
    <w:rsid w:val="00877814"/>
    <w:rsid w:val="00897231"/>
    <w:rsid w:val="008B3D03"/>
    <w:rsid w:val="00943515"/>
    <w:rsid w:val="00951B0C"/>
    <w:rsid w:val="0095365E"/>
    <w:rsid w:val="00954489"/>
    <w:rsid w:val="00957F10"/>
    <w:rsid w:val="00971031"/>
    <w:rsid w:val="009C5845"/>
    <w:rsid w:val="009F610D"/>
    <w:rsid w:val="00A05048"/>
    <w:rsid w:val="00A470D1"/>
    <w:rsid w:val="00A62E99"/>
    <w:rsid w:val="00A705E2"/>
    <w:rsid w:val="00A74D1D"/>
    <w:rsid w:val="00AC128E"/>
    <w:rsid w:val="00AE796D"/>
    <w:rsid w:val="00B454B5"/>
    <w:rsid w:val="00B77796"/>
    <w:rsid w:val="00BB4C78"/>
    <w:rsid w:val="00BE65D0"/>
    <w:rsid w:val="00C36246"/>
    <w:rsid w:val="00C56761"/>
    <w:rsid w:val="00C62ACB"/>
    <w:rsid w:val="00C73933"/>
    <w:rsid w:val="00C96720"/>
    <w:rsid w:val="00CD03B6"/>
    <w:rsid w:val="00D07F1D"/>
    <w:rsid w:val="00D61528"/>
    <w:rsid w:val="00D634D9"/>
    <w:rsid w:val="00D900F6"/>
    <w:rsid w:val="00D96380"/>
    <w:rsid w:val="00DE3254"/>
    <w:rsid w:val="00E21659"/>
    <w:rsid w:val="00E251A1"/>
    <w:rsid w:val="00E31974"/>
    <w:rsid w:val="00F01F6D"/>
    <w:rsid w:val="00F04BFB"/>
    <w:rsid w:val="00F4663A"/>
    <w:rsid w:val="00F75B48"/>
    <w:rsid w:val="00FA3425"/>
    <w:rsid w:val="00FA768B"/>
    <w:rsid w:val="00FB037D"/>
    <w:rsid w:val="00FC62D3"/>
    <w:rsid w:val="00FD2175"/>
    <w:rsid w:val="00FD3361"/>
    <w:rsid w:val="00FE43A1"/>
    <w:rsid w:val="11F85954"/>
    <w:rsid w:val="44F34A8F"/>
    <w:rsid w:val="6A8639A6"/>
    <w:rsid w:val="6BE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link w:val="1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link w:val="16"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character" w:styleId="10">
    <w:name w:val="page number"/>
    <w:basedOn w:val="9"/>
    <w:uiPriority w:val="0"/>
  </w:style>
  <w:style w:type="paragraph" w:customStyle="1" w:styleId="11">
    <w:name w:val=" Char"/>
    <w:basedOn w:val="1"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12">
    <w:name w:val="页眉 Char"/>
    <w:basedOn w:val="9"/>
    <w:link w:val="6"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kern w:val="2"/>
      <w:sz w:val="18"/>
      <w:szCs w:val="18"/>
    </w:rPr>
  </w:style>
  <w:style w:type="paragraph" w:customStyle="1" w:styleId="14">
    <w:name w:val=" Char1 Char Char Char"/>
    <w:basedOn w:val="1"/>
    <w:uiPriority w:val="0"/>
  </w:style>
  <w:style w:type="character" w:customStyle="1" w:styleId="15">
    <w:name w:val="正文文本 Char"/>
    <w:basedOn w:val="9"/>
    <w:link w:val="3"/>
    <w:qFormat/>
    <w:uiPriority w:val="0"/>
    <w:rPr>
      <w:rFonts w:ascii="宋体" w:hAnsi="宋体" w:cs="宋体"/>
      <w:sz w:val="24"/>
      <w:szCs w:val="24"/>
    </w:rPr>
  </w:style>
  <w:style w:type="character" w:customStyle="1" w:styleId="16">
    <w:name w:val="正文首行缩进 Char"/>
    <w:basedOn w:val="15"/>
    <w:link w:val="7"/>
    <w:uiPriority w:val="0"/>
  </w:style>
  <w:style w:type="character" w:customStyle="1" w:styleId="17">
    <w:name w:val="文本正文 Char"/>
    <w:link w:val="18"/>
    <w:uiPriority w:val="0"/>
    <w:rPr>
      <w:kern w:val="2"/>
      <w:sz w:val="24"/>
      <w:szCs w:val="24"/>
    </w:rPr>
  </w:style>
  <w:style w:type="paragraph" w:customStyle="1" w:styleId="18">
    <w:name w:val="文本正文"/>
    <w:basedOn w:val="1"/>
    <w:link w:val="17"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19">
    <w:name w:val="样式 样式 样式 小四 左 首行缩进:  2 字符 + 首行缩进:  2 字符 Char + 右  0 字符1"/>
    <w:basedOn w:val="20"/>
    <w:uiPriority w:val="0"/>
    <w:pPr>
      <w:ind w:right="0" w:rightChars="0" w:firstLine="200"/>
    </w:pPr>
  </w:style>
  <w:style w:type="paragraph" w:customStyle="1" w:styleId="20">
    <w:name w:val="样式 样式 小四 左 首行缩进:  2 字符 + 首行缩进:  2 字符 Char"/>
    <w:basedOn w:val="21"/>
    <w:uiPriority w:val="0"/>
    <w:pPr>
      <w:ind w:firstLine="560"/>
    </w:pPr>
  </w:style>
  <w:style w:type="paragraph" w:customStyle="1" w:styleId="21">
    <w:name w:val="样式 小四 左 首行缩进:  2 字符"/>
    <w:basedOn w:val="1"/>
    <w:uiPriority w:val="0"/>
    <w:pPr>
      <w:ind w:right="-56" w:rightChars="-20" w:firstLine="480" w:firstLineChars="200"/>
      <w:jc w:val="left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www.os115.com</Company>
  <Pages>1</Pages>
  <Words>296</Words>
  <Characters>1688</Characters>
  <Lines>14</Lines>
  <Paragraphs>3</Paragraphs>
  <TotalTime>31</TotalTime>
  <ScaleCrop>false</ScaleCrop>
  <LinksUpToDate>false</LinksUpToDate>
  <CharactersWithSpaces>1981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2018-09-04T02:39:00Z</dcterms:created>
  <dc:creator>User</dc:creator>
  <cp:lastModifiedBy>Administrator</cp:lastModifiedBy>
  <cp:lastPrinted>2020-05-21T02:24:00Z</cp:lastPrinted>
  <dcterms:modified xsi:type="dcterms:W3CDTF">2020-11-05T01:45:52Z</dcterms:modified>
  <dc:title>城环评（2013）2号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