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eastAsia="方正小标宋_GBK" w:cs="Times New Roman"/>
          <w:sz w:val="52"/>
          <w:szCs w:val="52"/>
          <w:lang w:val="en-US" w:eastAsia="zh-CN"/>
        </w:rPr>
        <w:t>4</w:t>
      </w:r>
      <w:r>
        <w:rPr>
          <w:rFonts w:ascii="Times New Roman" w:hAnsi="Times New Roman" w:eastAsia="方正小标宋_GBK" w:cs="Times New Roman"/>
          <w:sz w:val="52"/>
          <w:szCs w:val="52"/>
        </w:rPr>
        <w:t>年</w:t>
      </w:r>
      <w:r>
        <w:rPr>
          <w:rFonts w:hint="eastAsia" w:eastAsia="方正小标宋_GBK" w:cs="Times New Roman"/>
          <w:sz w:val="52"/>
          <w:szCs w:val="52"/>
          <w:lang w:val="en-US" w:eastAsia="zh-CN"/>
        </w:rPr>
        <w:t>人社局</w:t>
      </w:r>
      <w:r>
        <w:rPr>
          <w:rFonts w:hint="eastAsia" w:eastAsia="方正小标宋_GBK" w:cs="Times New Roman"/>
          <w:sz w:val="52"/>
          <w:szCs w:val="52"/>
          <w:lang w:eastAsia="zh-CN"/>
        </w:rPr>
        <w:t>部门</w:t>
      </w:r>
      <w:r>
        <w:rPr>
          <w:rFonts w:ascii="Times New Roman" w:hAnsi="Times New Roman" w:eastAsia="方正小标宋_GBK" w:cs="Times New Roman"/>
          <w:sz w:val="52"/>
          <w:szCs w:val="52"/>
        </w:rPr>
        <w:t>整体支出</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jc w:val="center"/>
        <w:rPr>
          <w:rFonts w:ascii="Times New Roman" w:hAnsi="Times New Roman" w:eastAsia="方正小标宋_GBK" w:cs="Times New Roman"/>
          <w:b/>
          <w:sz w:val="52"/>
          <w:szCs w:val="5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2400" w:firstLineChars="600"/>
        <w:jc w:val="both"/>
        <w:rPr>
          <w:rFonts w:hint="default" w:ascii="仿宋" w:hAnsi="仿宋" w:eastAsia="仿宋" w:cs="仿宋"/>
          <w:sz w:val="40"/>
          <w:szCs w:val="40"/>
          <w:u w:val="single"/>
          <w:lang w:val="en-US" w:eastAsia="zh-CN"/>
        </w:rPr>
      </w:pPr>
      <w:r>
        <w:rPr>
          <w:rFonts w:hint="eastAsia" w:ascii="仿宋" w:hAnsi="仿宋" w:eastAsia="仿宋" w:cs="仿宋"/>
          <w:sz w:val="40"/>
          <w:szCs w:val="40"/>
        </w:rPr>
        <w:t>单位名称：</w:t>
      </w:r>
      <w:r>
        <w:rPr>
          <w:rFonts w:hint="eastAsia" w:ascii="仿宋" w:hAnsi="仿宋" w:eastAsia="仿宋" w:cs="仿宋"/>
          <w:sz w:val="40"/>
          <w:szCs w:val="40"/>
          <w:u w:val="single"/>
          <w:lang w:eastAsia="zh-CN"/>
        </w:rPr>
        <w:t>（盖章）</w:t>
      </w:r>
      <w:r>
        <w:rPr>
          <w:rFonts w:hint="eastAsia" w:ascii="仿宋" w:hAnsi="仿宋" w:eastAsia="仿宋" w:cs="仿宋"/>
          <w:sz w:val="40"/>
          <w:szCs w:val="40"/>
          <w:u w:val="single"/>
          <w:lang w:val="en-US" w:eastAsia="zh-CN"/>
        </w:rPr>
        <w:t xml:space="preserve">    </w:t>
      </w:r>
    </w:p>
    <w:p>
      <w:pPr>
        <w:spacing w:line="600" w:lineRule="exact"/>
        <w:ind w:firstLine="2800" w:firstLineChars="700"/>
        <w:jc w:val="both"/>
        <w:rPr>
          <w:rFonts w:hint="eastAsia" w:ascii="仿宋" w:hAnsi="仿宋" w:eastAsia="仿宋" w:cs="仿宋"/>
          <w:sz w:val="40"/>
          <w:szCs w:val="40"/>
        </w:rPr>
      </w:pPr>
      <w:r>
        <w:rPr>
          <w:rFonts w:hint="eastAsia" w:ascii="仿宋" w:hAnsi="仿宋" w:eastAsia="仿宋" w:cs="仿宋"/>
          <w:sz w:val="40"/>
          <w:szCs w:val="40"/>
          <w:lang w:val="en-US" w:eastAsia="zh-CN"/>
        </w:rPr>
        <w:t>2025</w:t>
      </w:r>
      <w:r>
        <w:rPr>
          <w:rFonts w:hint="eastAsia" w:ascii="仿宋" w:hAnsi="仿宋" w:eastAsia="仿宋" w:cs="仿宋"/>
          <w:sz w:val="40"/>
          <w:szCs w:val="40"/>
        </w:rPr>
        <w:t>年</w:t>
      </w:r>
      <w:r>
        <w:rPr>
          <w:rFonts w:hint="eastAsia" w:ascii="仿宋" w:hAnsi="仿宋" w:eastAsia="仿宋" w:cs="仿宋"/>
          <w:sz w:val="40"/>
          <w:szCs w:val="40"/>
          <w:lang w:val="en-US" w:eastAsia="zh-CN"/>
        </w:rPr>
        <w:t xml:space="preserve">  4</w:t>
      </w:r>
      <w:r>
        <w:rPr>
          <w:rFonts w:hint="eastAsia" w:ascii="仿宋" w:hAnsi="仿宋" w:eastAsia="仿宋" w:cs="仿宋"/>
          <w:sz w:val="40"/>
          <w:szCs w:val="40"/>
        </w:rPr>
        <w:t>月</w:t>
      </w:r>
      <w:r>
        <w:rPr>
          <w:rFonts w:hint="eastAsia" w:ascii="仿宋" w:hAnsi="仿宋" w:eastAsia="仿宋" w:cs="仿宋"/>
          <w:sz w:val="40"/>
          <w:szCs w:val="40"/>
          <w:lang w:val="en-US" w:eastAsia="zh-CN"/>
        </w:rPr>
        <w:t xml:space="preserve"> 11 </w:t>
      </w:r>
      <w:r>
        <w:rPr>
          <w:rFonts w:hint="eastAsia" w:ascii="仿宋" w:hAnsi="仿宋" w:eastAsia="仿宋" w:cs="仿宋"/>
          <w:sz w:val="40"/>
          <w:szCs w:val="40"/>
        </w:rPr>
        <w:t>日</w:t>
      </w:r>
    </w:p>
    <w:p/>
    <w:p/>
    <w:p/>
    <w:p/>
    <w:p/>
    <w:p/>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44"/>
          <w:szCs w:val="44"/>
          <w:shd w:val="clear" w:fill="FFFFFF"/>
        </w:rPr>
        <w:t>202</w:t>
      </w: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4</w:t>
      </w:r>
      <w:r>
        <w:rPr>
          <w:rFonts w:hint="eastAsia" w:ascii="方正小标宋_GBK" w:hAnsi="方正小标宋_GBK" w:eastAsia="方正小标宋_GBK" w:cs="方正小标宋_GBK"/>
          <w:i w:val="0"/>
          <w:iCs w:val="0"/>
          <w:caps w:val="0"/>
          <w:color w:val="000000"/>
          <w:spacing w:val="0"/>
          <w:sz w:val="44"/>
          <w:szCs w:val="44"/>
          <w:shd w:val="clear" w:fill="FFFFFF"/>
        </w:rPr>
        <w:t>年度</w:t>
      </w: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人社局</w:t>
      </w: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0" w:firstLineChars="1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numPr>
          <w:ilvl w:val="0"/>
          <w:numId w:val="0"/>
        </w:numPr>
        <w:kinsoku/>
        <w:wordWrap/>
        <w:overflowPunct/>
        <w:topLinePunct w:val="0"/>
        <w:autoSpaceDE/>
        <w:autoSpaceDN/>
        <w:bidi w:val="0"/>
        <w:spacing w:line="560" w:lineRule="exact"/>
        <w:ind w:right="0" w:rightChars="0" w:firstLine="600" w:firstLineChars="200"/>
        <w:jc w:val="both"/>
        <w:textAlignment w:val="auto"/>
        <w:outlineLvl w:val="9"/>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sz w:val="30"/>
          <w:szCs w:val="30"/>
        </w:rPr>
        <w:t>县人力资源和社会保障局属财政全额拨款</w:t>
      </w:r>
      <w:r>
        <w:rPr>
          <w:rFonts w:hint="eastAsia" w:ascii="仿宋" w:hAnsi="仿宋" w:eastAsia="仿宋" w:cs="仿宋"/>
          <w:sz w:val="30"/>
          <w:szCs w:val="30"/>
          <w:lang w:eastAsia="zh-CN"/>
        </w:rPr>
        <w:t>一级</w:t>
      </w:r>
      <w:r>
        <w:rPr>
          <w:rFonts w:hint="eastAsia" w:ascii="仿宋" w:hAnsi="仿宋" w:eastAsia="仿宋" w:cs="仿宋"/>
          <w:sz w:val="30"/>
          <w:szCs w:val="30"/>
        </w:rPr>
        <w:t>预算单位，共设1</w:t>
      </w:r>
      <w:r>
        <w:rPr>
          <w:rFonts w:hint="eastAsia" w:ascii="仿宋" w:hAnsi="仿宋" w:eastAsia="仿宋" w:cs="仿宋"/>
          <w:sz w:val="30"/>
          <w:szCs w:val="30"/>
          <w:lang w:val="en-US" w:eastAsia="zh-CN"/>
        </w:rPr>
        <w:t>1</w:t>
      </w:r>
      <w:r>
        <w:rPr>
          <w:rFonts w:hint="eastAsia" w:ascii="仿宋" w:hAnsi="仿宋" w:eastAsia="仿宋" w:cs="仿宋"/>
          <w:sz w:val="30"/>
          <w:szCs w:val="30"/>
        </w:rPr>
        <w:t>个行政股室，</w:t>
      </w:r>
      <w:r>
        <w:rPr>
          <w:rFonts w:hint="eastAsia" w:ascii="仿宋" w:hAnsi="仿宋" w:eastAsia="仿宋" w:cs="仿宋"/>
          <w:i w:val="0"/>
          <w:iCs w:val="0"/>
          <w:caps w:val="0"/>
          <w:color w:val="000000"/>
          <w:spacing w:val="0"/>
          <w:sz w:val="30"/>
          <w:szCs w:val="30"/>
          <w:shd w:val="clear" w:fill="FFFFFF"/>
          <w:lang w:val="en-US" w:eastAsia="zh-CN"/>
        </w:rPr>
        <w:t>分别是办公室、政工股、财务和基金监督股、法规和行政审批股、就业促进股、事业单位管理股、专业技术人员管理股、工资福利股、养老保险股、失业工伤保险股和统计信息股。</w:t>
      </w:r>
      <w:r>
        <w:rPr>
          <w:rFonts w:hint="eastAsia" w:ascii="仿宋" w:hAnsi="仿宋" w:eastAsia="仿宋" w:cs="仿宋"/>
          <w:sz w:val="30"/>
          <w:szCs w:val="30"/>
        </w:rPr>
        <w:t>下属养老、失业、工伤</w:t>
      </w:r>
      <w:r>
        <w:rPr>
          <w:rFonts w:hint="eastAsia" w:ascii="仿宋" w:hAnsi="仿宋" w:eastAsia="仿宋" w:cs="仿宋"/>
          <w:sz w:val="30"/>
          <w:szCs w:val="30"/>
          <w:lang w:eastAsia="zh-CN"/>
        </w:rPr>
        <w:t>三</w:t>
      </w:r>
      <w:r>
        <w:rPr>
          <w:rFonts w:hint="eastAsia" w:ascii="仿宋" w:hAnsi="仿宋" w:eastAsia="仿宋" w:cs="仿宋"/>
          <w:sz w:val="30"/>
          <w:szCs w:val="30"/>
        </w:rPr>
        <w:t>大险种经办机构和劳动监察、就业、人力资源管理、人事劳动争议仲裁等</w:t>
      </w:r>
      <w:r>
        <w:rPr>
          <w:rFonts w:hint="eastAsia" w:ascii="仿宋" w:hAnsi="仿宋" w:eastAsia="仿宋" w:cs="仿宋"/>
          <w:sz w:val="30"/>
          <w:szCs w:val="30"/>
          <w:lang w:val="en-US" w:eastAsia="zh-CN"/>
        </w:rPr>
        <w:t>5</w:t>
      </w:r>
      <w:r>
        <w:rPr>
          <w:rFonts w:hint="eastAsia" w:ascii="仿宋" w:hAnsi="仿宋" w:eastAsia="仿宋" w:cs="仿宋"/>
          <w:sz w:val="30"/>
          <w:szCs w:val="30"/>
        </w:rPr>
        <w:t>个副科级全额拨款二级机构</w:t>
      </w:r>
      <w:r>
        <w:rPr>
          <w:rFonts w:hint="eastAsia" w:ascii="仿宋" w:hAnsi="仿宋" w:eastAsia="仿宋" w:cs="仿宋"/>
          <w:sz w:val="30"/>
          <w:szCs w:val="30"/>
          <w:lang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val="en-US" w:eastAsia="zh-CN"/>
        </w:rPr>
        <w:t xml:space="preserve">   （二）</w:t>
      </w: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sz w:val="30"/>
          <w:szCs w:val="30"/>
        </w:rPr>
        <w:t>县</w:t>
      </w:r>
      <w:r>
        <w:rPr>
          <w:rFonts w:hint="eastAsia" w:ascii="仿宋" w:hAnsi="仿宋" w:eastAsia="仿宋" w:cs="仿宋"/>
          <w:sz w:val="30"/>
          <w:szCs w:val="30"/>
          <w:lang w:eastAsia="zh-CN"/>
        </w:rPr>
        <w:t>人力资源和社会保障局年末行政编制人数</w:t>
      </w:r>
      <w:r>
        <w:rPr>
          <w:rFonts w:hint="eastAsia" w:ascii="仿宋" w:hAnsi="仿宋" w:eastAsia="仿宋" w:cs="仿宋"/>
          <w:sz w:val="30"/>
          <w:szCs w:val="30"/>
          <w:lang w:val="en-US" w:eastAsia="zh-CN"/>
        </w:rPr>
        <w:t>14人、工勤编制人数2人，人才交流中心编制人数20人，人事劳动争议仲裁院编制人数5人，共计编制人数41人，年末实有人数28人。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eastAsia="zh-CN"/>
        </w:rPr>
        <w:t>（</w:t>
      </w:r>
      <w:r>
        <w:rPr>
          <w:rFonts w:hint="eastAsia" w:ascii="楷体_GB2312" w:eastAsia="楷体_GB2312" w:cs="楷体_GB2312"/>
          <w:i w:val="0"/>
          <w:iCs w:val="0"/>
          <w:caps w:val="0"/>
          <w:color w:val="000000"/>
          <w:spacing w:val="0"/>
          <w:sz w:val="32"/>
          <w:szCs w:val="32"/>
          <w:shd w:val="clear" w:fill="FFFFFF"/>
          <w:lang w:val="en-US" w:eastAsia="zh-CN"/>
        </w:rPr>
        <w:t>三</w:t>
      </w:r>
      <w:r>
        <w:rPr>
          <w:rFonts w:hint="eastAsia" w:ascii="楷体_GB2312" w:eastAsia="楷体_GB2312" w:cs="楷体_GB2312"/>
          <w:i w:val="0"/>
          <w:iCs w:val="0"/>
          <w:caps w:val="0"/>
          <w:color w:val="000000"/>
          <w:spacing w:val="0"/>
          <w:sz w:val="32"/>
          <w:szCs w:val="32"/>
          <w:shd w:val="clear" w:fill="FFFFFF"/>
          <w:lang w:eastAsia="zh-CN"/>
        </w:rPr>
        <w:t>）</w:t>
      </w:r>
      <w:r>
        <w:rPr>
          <w:rFonts w:hint="default" w:ascii="楷体_GB2312" w:eastAsia="楷体_GB2312" w:cs="楷体_GB2312"/>
          <w:i w:val="0"/>
          <w:iCs w:val="0"/>
          <w:caps w:val="0"/>
          <w:color w:val="000000"/>
          <w:spacing w:val="0"/>
          <w:sz w:val="32"/>
          <w:szCs w:val="32"/>
          <w:shd w:val="clear" w:fill="FFFFFF"/>
        </w:rPr>
        <w:t>主要职能职责</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 拟订全县人力资源和社会保障事业发展政策、规划，按规定起草相关地方性法规、规章草案并组织实施。</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拟订全县人力资源市场发展规划和人力资源服务业发展、人力资源流动政策，促进人力资源合理流动、有效配置。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负责全县促进就业工作，拟订统筹城乡的就业发展规划和政策，完善公共就业创业服务体系</w:t>
      </w:r>
      <w:r>
        <w:rPr>
          <w:rFonts w:hint="eastAsia" w:ascii="仿宋" w:hAnsi="仿宋" w:eastAsia="仿宋" w:cs="仿宋"/>
          <w:sz w:val="32"/>
          <w:szCs w:val="32"/>
          <w:lang w:eastAsia="zh-CN"/>
        </w:rPr>
        <w:t>，</w:t>
      </w:r>
      <w:r>
        <w:rPr>
          <w:rFonts w:hint="eastAsia" w:ascii="仿宋" w:hAnsi="仿宋" w:eastAsia="仿宋" w:cs="仿宋"/>
          <w:sz w:val="32"/>
          <w:szCs w:val="32"/>
        </w:rPr>
        <w:t xml:space="preserve"> 统筹建立面向城乡劳动者的职业技能培训制度，拟订就业援助制度，牵头拟订高校毕业生就业政策。</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统筹推进建立全县覆盖城乡的多层次社会保障体系。 拟订养老、失业、工伤等社会保险及其补充保险政策和标准。组织拟订养老、失业、工伤等社会保险及其补充保险基金管理和监督制度，编制相关社会保险基金预决算草案，参与拟订相关社会保障基金投资政策。会同有关部门实施全民参保计划并建立全县统一的社会保险公共服务平台。</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负责全县就业、失业和相关社会保险基金预测预警和信息引导，拟订应对预案，实施预防、调节和控制，保持就业形势稳定和相关社会保险基金总体收支平衡。</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统筹拟订全县劳动人事争议调解仲裁工作规划和劳动关系政策，完善劳动关系协商协调机制，拟订并监督实施职工工作时间、休息休假和假期制度，拟订并监督实施消除非法使用童工政策和女工、未成年工特殊劳动保护政策。 组织实施劳动保障监察，协调劳动者维权工作，依法查处重大案件。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牵头推进全县深化职称制度改革， 拟订并组织实施专业技术人员管理、继续教育管理等政策，负责高层次专业技术人才选拔和培养工作，拟订并落实吸引留学人员来城(回国)工作或定居政策。组织拟订技能人才培养、评价、使用和激励制度。完善职业资格制度，健全职业技能多元化评价政策。</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会同有关部门指导全县事业单位人事制度改革，按照管理权限负责规范事业单位岗位设置、公开招聘、聘用合同等人事综合管理工作，拟订事业单位工作人员和机关工勤人员管理政策。</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会同有关部门拟订全县事业单位人员工资收入分配政策并组织实施，建立全县企事业单位人员工资决定、正常增长和支付保障机制。拟订全县企事业单位人员福利和离退休政策并组织实施。</w:t>
      </w:r>
    </w:p>
    <w:p>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会同有关部门拟订全县农民工工作的综合性政策和规划，推动相关政策落实，协调解决重点难点问题，维护农民工合法权益。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320" w:firstLineChars="1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keepNext w:val="0"/>
        <w:keepLines w:val="0"/>
        <w:pageBreakBefore w:val="0"/>
        <w:kinsoku/>
        <w:wordWrap/>
        <w:overflowPunct/>
        <w:topLinePunct w:val="0"/>
        <w:autoSpaceDE/>
        <w:autoSpaceDN/>
        <w:bidi w:val="0"/>
        <w:spacing w:line="500" w:lineRule="exact"/>
        <w:ind w:firstLine="60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sz w:val="30"/>
          <w:szCs w:val="30"/>
          <w:lang w:val="en-US" w:eastAsia="zh-CN"/>
        </w:rPr>
        <w:t>1、就业工作。按时完成市级下发的就业创业指标任务；2、社保工作。重点做好社会保险参保扩面和征缴工作；3、人事人才工作。抓事业单位人事改革、人才服务、人才引进和军转安置等工作。4、维权工作。劳动保障举报投诉案件和劳动争议仲裁案件按期结案率达90%以上。5、绩效考核和为民办实事工作。紧紧围绕市委、市政府中心工作，进一步优化评估指标，科学制定考核方案，切实加强为民办实事项目的督查督办。6、乡村振兴行业帮扶工作。</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9"/>
        <w:widowControl/>
        <w:spacing w:line="600" w:lineRule="exact"/>
        <w:ind w:left="640" w:firstLine="0" w:firstLineChars="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eastAsia="楷体_GB2312" w:cs="Times New Roman"/>
          <w:sz w:val="32"/>
          <w:szCs w:val="32"/>
          <w:lang w:eastAsia="zh-CN"/>
        </w:rPr>
        <w:t>部门</w:t>
      </w:r>
      <w:r>
        <w:rPr>
          <w:rFonts w:hint="default" w:ascii="Times New Roman" w:hAnsi="Times New Roman" w:eastAsia="楷体_GB2312" w:cs="Times New Roman"/>
          <w:sz w:val="32"/>
          <w:szCs w:val="32"/>
        </w:rPr>
        <w:t>预决算情况</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1.部门预算情况</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eastAsia" w:cs="Times New Roman"/>
          <w:sz w:val="32"/>
          <w:szCs w:val="32"/>
          <w:lang w:val="en-US" w:eastAsia="zh-CN"/>
        </w:rPr>
        <w:t>4</w:t>
      </w:r>
      <w:r>
        <w:rPr>
          <w:rFonts w:hint="default" w:ascii="Times New Roman" w:hAnsi="Times New Roman" w:eastAsia="仿宋_GB2312" w:cs="Times New Roman"/>
          <w:sz w:val="32"/>
          <w:szCs w:val="32"/>
          <w:lang w:eastAsia="zh-CN"/>
        </w:rPr>
        <w:t>年年初预算安排收入</w:t>
      </w:r>
      <w:r>
        <w:rPr>
          <w:rFonts w:hint="eastAsia" w:cs="Times New Roman"/>
          <w:sz w:val="32"/>
          <w:szCs w:val="32"/>
          <w:lang w:val="en-US" w:eastAsia="zh-CN"/>
        </w:rPr>
        <w:t>664.96</w:t>
      </w:r>
      <w:r>
        <w:rPr>
          <w:rFonts w:hint="default" w:ascii="Times New Roman" w:hAnsi="Times New Roman" w:eastAsia="仿宋_GB2312" w:cs="Times New Roman"/>
          <w:sz w:val="32"/>
          <w:szCs w:val="32"/>
          <w:lang w:eastAsia="zh-CN"/>
        </w:rPr>
        <w:t>万元，其中一般公共财政拨款</w:t>
      </w:r>
      <w:r>
        <w:rPr>
          <w:rFonts w:hint="eastAsia" w:cs="Times New Roman"/>
          <w:sz w:val="32"/>
          <w:szCs w:val="32"/>
          <w:lang w:val="en-US" w:eastAsia="zh-CN"/>
        </w:rPr>
        <w:t>646.96</w:t>
      </w:r>
      <w:r>
        <w:rPr>
          <w:rFonts w:hint="default"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202</w:t>
      </w:r>
      <w:r>
        <w:rPr>
          <w:rFonts w:hint="eastAsia" w:cs="Times New Roman"/>
          <w:sz w:val="32"/>
          <w:szCs w:val="32"/>
          <w:lang w:val="en-US" w:eastAsia="zh-CN"/>
        </w:rPr>
        <w:t>4</w:t>
      </w:r>
      <w:r>
        <w:rPr>
          <w:rFonts w:hint="default" w:ascii="Times New Roman" w:hAnsi="Times New Roman" w:eastAsia="仿宋_GB2312" w:cs="Times New Roman"/>
          <w:sz w:val="32"/>
          <w:szCs w:val="32"/>
          <w:lang w:eastAsia="zh-CN"/>
        </w:rPr>
        <w:t>年年初预算安排支出</w:t>
      </w:r>
      <w:r>
        <w:rPr>
          <w:rFonts w:hint="eastAsia" w:cs="Times New Roman"/>
          <w:sz w:val="32"/>
          <w:szCs w:val="32"/>
          <w:lang w:val="en-US" w:eastAsia="zh-CN"/>
        </w:rPr>
        <w:t>646.96</w:t>
      </w:r>
      <w:r>
        <w:rPr>
          <w:rFonts w:hint="default" w:ascii="Times New Roman" w:hAnsi="Times New Roman" w:eastAsia="仿宋_GB2312" w:cs="Times New Roman"/>
          <w:sz w:val="32"/>
          <w:szCs w:val="32"/>
          <w:lang w:eastAsia="zh-CN"/>
        </w:rPr>
        <w:t>万元</w:t>
      </w:r>
      <w:r>
        <w:rPr>
          <w:rFonts w:hint="eastAsia" w:cs="Times New Roman"/>
          <w:sz w:val="32"/>
          <w:szCs w:val="32"/>
          <w:lang w:eastAsia="zh-CN"/>
        </w:rPr>
        <w:t>，</w:t>
      </w:r>
      <w:r>
        <w:rPr>
          <w:rFonts w:hint="default" w:ascii="Times New Roman" w:hAnsi="Times New Roman" w:eastAsia="仿宋_GB2312" w:cs="Times New Roman"/>
          <w:sz w:val="32"/>
          <w:szCs w:val="32"/>
          <w:lang w:eastAsia="zh-CN"/>
        </w:rPr>
        <w:t>其中：基本支出</w:t>
      </w:r>
      <w:r>
        <w:rPr>
          <w:rFonts w:hint="eastAsia" w:cs="Times New Roman"/>
          <w:sz w:val="32"/>
          <w:szCs w:val="32"/>
          <w:lang w:val="en-US" w:eastAsia="zh-CN"/>
        </w:rPr>
        <w:t>345.64</w:t>
      </w:r>
      <w:r>
        <w:rPr>
          <w:rFonts w:hint="default" w:ascii="Times New Roman" w:hAnsi="Times New Roman" w:eastAsia="仿宋_GB2312" w:cs="Times New Roman"/>
          <w:sz w:val="32"/>
          <w:szCs w:val="32"/>
          <w:lang w:eastAsia="zh-CN"/>
        </w:rPr>
        <w:t>万元，项目支出</w:t>
      </w:r>
      <w:r>
        <w:rPr>
          <w:rFonts w:hint="eastAsia" w:cs="Times New Roman"/>
          <w:sz w:val="32"/>
          <w:szCs w:val="32"/>
          <w:lang w:val="en-US" w:eastAsia="zh-CN"/>
        </w:rPr>
        <w:t>319.32</w:t>
      </w:r>
      <w:r>
        <w:rPr>
          <w:rFonts w:hint="default" w:ascii="Times New Roman" w:hAnsi="Times New Roman" w:eastAsia="仿宋_GB2312" w:cs="Times New Roman"/>
          <w:sz w:val="32"/>
          <w:szCs w:val="32"/>
          <w:lang w:eastAsia="zh-CN"/>
        </w:rPr>
        <w:t>万元。</w:t>
      </w:r>
    </w:p>
    <w:p>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2.部门决算情况（含年中预算追加情况）</w:t>
      </w:r>
    </w:p>
    <w:p>
      <w:pPr>
        <w:spacing w:line="600" w:lineRule="exact"/>
        <w:ind w:firstLine="640" w:firstLineChars="200"/>
        <w:rPr>
          <w:rFonts w:hint="default" w:ascii="Times New Roman" w:hAnsi="Times New Roman" w:eastAsia="仿宋_GB2312" w:cs="Times New Roman"/>
          <w:sz w:val="32"/>
          <w:szCs w:val="32"/>
          <w:lang w:eastAsia="zh-CN"/>
        </w:rPr>
      </w:pPr>
      <w:r>
        <w:rPr>
          <w:rFonts w:hint="eastAsia" w:cs="Times New Roman"/>
          <w:sz w:val="32"/>
          <w:szCs w:val="32"/>
          <w:lang w:eastAsia="zh-CN"/>
        </w:rPr>
        <w:t>2024</w:t>
      </w:r>
      <w:r>
        <w:rPr>
          <w:rFonts w:hint="default" w:ascii="Times New Roman" w:hAnsi="Times New Roman" w:eastAsia="仿宋_GB2312" w:cs="Times New Roman"/>
          <w:sz w:val="32"/>
          <w:szCs w:val="32"/>
          <w:lang w:eastAsia="zh-CN"/>
        </w:rPr>
        <w:t>年决算总收入</w:t>
      </w:r>
      <w:r>
        <w:rPr>
          <w:rFonts w:hint="eastAsia" w:cs="Times New Roman"/>
          <w:sz w:val="32"/>
          <w:szCs w:val="32"/>
          <w:lang w:val="en-US" w:eastAsia="zh-CN"/>
        </w:rPr>
        <w:t>592.14</w:t>
      </w:r>
      <w:r>
        <w:rPr>
          <w:rFonts w:hint="default" w:ascii="Times New Roman" w:hAnsi="Times New Roman" w:eastAsia="仿宋_GB2312" w:cs="Times New Roman"/>
          <w:sz w:val="32"/>
          <w:szCs w:val="32"/>
          <w:lang w:eastAsia="zh-CN"/>
        </w:rPr>
        <w:t>万元，较预算</w:t>
      </w:r>
      <w:r>
        <w:rPr>
          <w:rFonts w:hint="eastAsia" w:cs="Times New Roman"/>
          <w:sz w:val="32"/>
          <w:szCs w:val="32"/>
          <w:lang w:val="en-US" w:eastAsia="zh-CN"/>
        </w:rPr>
        <w:t>减少72.82</w:t>
      </w:r>
      <w:r>
        <w:rPr>
          <w:rFonts w:hint="default" w:ascii="Times New Roman" w:hAnsi="Times New Roman" w:eastAsia="仿宋_GB2312" w:cs="Times New Roman"/>
          <w:sz w:val="32"/>
          <w:szCs w:val="32"/>
          <w:lang w:eastAsia="zh-CN"/>
        </w:rPr>
        <w:t>万元，总支出</w:t>
      </w:r>
      <w:r>
        <w:rPr>
          <w:rFonts w:hint="eastAsia" w:cs="Times New Roman"/>
          <w:sz w:val="32"/>
          <w:szCs w:val="32"/>
          <w:lang w:val="en-US" w:eastAsia="zh-CN"/>
        </w:rPr>
        <w:t>592.14</w:t>
      </w:r>
      <w:r>
        <w:rPr>
          <w:rFonts w:hint="default" w:ascii="Times New Roman" w:hAnsi="Times New Roman" w:eastAsia="仿宋_GB2312" w:cs="Times New Roman"/>
          <w:sz w:val="32"/>
          <w:szCs w:val="32"/>
          <w:lang w:eastAsia="zh-CN"/>
        </w:rPr>
        <w:t>万元，其中：基本支出</w:t>
      </w:r>
      <w:r>
        <w:rPr>
          <w:rFonts w:hint="eastAsia" w:cs="Times New Roman"/>
          <w:sz w:val="32"/>
          <w:szCs w:val="32"/>
          <w:lang w:val="en-US" w:eastAsia="zh-CN"/>
        </w:rPr>
        <w:t>524.49</w:t>
      </w:r>
      <w:r>
        <w:rPr>
          <w:rFonts w:hint="default" w:ascii="Times New Roman" w:hAnsi="Times New Roman" w:eastAsia="仿宋_GB2312" w:cs="Times New Roman"/>
          <w:sz w:val="32"/>
          <w:szCs w:val="32"/>
          <w:lang w:eastAsia="zh-CN"/>
        </w:rPr>
        <w:t>万元，占总支出的</w:t>
      </w:r>
      <w:r>
        <w:rPr>
          <w:rFonts w:hint="eastAsia" w:cs="Times New Roman"/>
          <w:sz w:val="32"/>
          <w:szCs w:val="32"/>
          <w:lang w:val="en-US" w:eastAsia="zh-CN"/>
        </w:rPr>
        <w:t>89</w:t>
      </w:r>
      <w:r>
        <w:rPr>
          <w:rFonts w:hint="default" w:ascii="Times New Roman" w:hAnsi="Times New Roman" w:eastAsia="仿宋_GB2312" w:cs="Times New Roman"/>
          <w:sz w:val="32"/>
          <w:szCs w:val="32"/>
          <w:lang w:eastAsia="zh-CN"/>
        </w:rPr>
        <w:t>％；项目支出</w:t>
      </w:r>
      <w:r>
        <w:rPr>
          <w:rFonts w:hint="eastAsia" w:cs="Times New Roman"/>
          <w:sz w:val="32"/>
          <w:szCs w:val="32"/>
          <w:lang w:val="en-US" w:eastAsia="zh-CN"/>
        </w:rPr>
        <w:t>67.65</w:t>
      </w:r>
      <w:r>
        <w:rPr>
          <w:rFonts w:hint="default" w:ascii="Times New Roman" w:hAnsi="Times New Roman" w:eastAsia="仿宋_GB2312" w:cs="Times New Roman"/>
          <w:sz w:val="32"/>
          <w:szCs w:val="32"/>
          <w:lang w:eastAsia="zh-CN"/>
        </w:rPr>
        <w:t>万元，占总支出的</w:t>
      </w:r>
      <w:r>
        <w:rPr>
          <w:rFonts w:hint="eastAsia" w:cs="Times New Roman"/>
          <w:sz w:val="32"/>
          <w:szCs w:val="32"/>
          <w:lang w:val="en-US" w:eastAsia="zh-CN"/>
        </w:rPr>
        <w:t>11</w:t>
      </w:r>
      <w:r>
        <w:rPr>
          <w:rFonts w:hint="default" w:ascii="Times New Roman" w:hAnsi="Times New Roman" w:eastAsia="仿宋_GB2312" w:cs="Times New Roman"/>
          <w:sz w:val="32"/>
          <w:szCs w:val="32"/>
          <w:lang w:eastAsia="zh-CN"/>
        </w:rPr>
        <w:t>％。差异产生的主要原因是</w:t>
      </w:r>
      <w:r>
        <w:rPr>
          <w:rFonts w:hint="eastAsia" w:ascii="仿宋_GB2312" w:hAnsi="仿宋" w:eastAsia="仿宋_GB2312"/>
          <w:sz w:val="32"/>
          <w:szCs w:val="32"/>
          <w:highlight w:val="none"/>
          <w:lang w:val="en-US" w:eastAsia="zh-CN"/>
        </w:rPr>
        <w:t>决算数比预算数减少</w:t>
      </w:r>
      <w:r>
        <w:rPr>
          <w:rFonts w:hint="eastAsia" w:ascii="仿宋_GB2312" w:hAnsi="仿宋"/>
          <w:sz w:val="32"/>
          <w:szCs w:val="32"/>
          <w:highlight w:val="none"/>
          <w:lang w:val="en-US" w:eastAsia="zh-CN"/>
        </w:rPr>
        <w:t>72.82</w:t>
      </w:r>
      <w:r>
        <w:rPr>
          <w:rFonts w:hint="eastAsia" w:ascii="仿宋_GB2312" w:hAnsi="仿宋" w:eastAsia="仿宋_GB2312"/>
          <w:sz w:val="32"/>
          <w:szCs w:val="32"/>
          <w:highlight w:val="none"/>
          <w:lang w:val="en-US" w:eastAsia="zh-CN"/>
        </w:rPr>
        <w:t>万元，减少1</w:t>
      </w:r>
      <w:r>
        <w:rPr>
          <w:rFonts w:hint="eastAsia" w:ascii="仿宋_GB2312" w:hAnsi="仿宋"/>
          <w:sz w:val="32"/>
          <w:szCs w:val="32"/>
          <w:highlight w:val="none"/>
          <w:lang w:val="en-US" w:eastAsia="zh-CN"/>
        </w:rPr>
        <w:t>1</w:t>
      </w:r>
      <w:r>
        <w:rPr>
          <w:rFonts w:hint="eastAsia" w:ascii="仿宋_GB2312" w:hAnsi="仿宋" w:eastAsia="仿宋_GB2312"/>
          <w:sz w:val="32"/>
          <w:szCs w:val="32"/>
          <w:highlight w:val="none"/>
          <w:lang w:val="en-US" w:eastAsia="zh-CN"/>
        </w:rPr>
        <w:t>%，主要原因是</w:t>
      </w:r>
      <w:r>
        <w:rPr>
          <w:rFonts w:hint="eastAsia" w:ascii="仿宋_GB2312" w:hAnsi="仿宋"/>
          <w:sz w:val="32"/>
          <w:szCs w:val="32"/>
          <w:highlight w:val="none"/>
          <w:lang w:val="en-US" w:eastAsia="zh-CN"/>
        </w:rPr>
        <w:t>年初部门预算征管经费由局机关统一打包预算，然后按季度由财政直接拨付至局属二级机构</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lang w:val="en-US" w:eastAsia="zh-CN"/>
        </w:rPr>
        <w:t xml:space="preserve">   </w:t>
      </w:r>
    </w:p>
    <w:p>
      <w:pPr>
        <w:spacing w:line="600" w:lineRule="exact"/>
        <w:ind w:firstLine="640" w:firstLineChars="20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（二）部门预算执行情况</w:t>
      </w:r>
    </w:p>
    <w:p>
      <w:pPr>
        <w:spacing w:line="600" w:lineRule="exact"/>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.“三公</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经费执行情况</w:t>
      </w:r>
    </w:p>
    <w:p>
      <w:pPr>
        <w:spacing w:line="600" w:lineRule="exact"/>
        <w:ind w:firstLine="640" w:firstLineChars="200"/>
        <w:rPr>
          <w:rFonts w:hint="default" w:ascii="Times New Roman" w:hAnsi="Times New Roman" w:eastAsia="仿宋_GB2312" w:cs="Times New Roman"/>
          <w:sz w:val="32"/>
          <w:szCs w:val="32"/>
          <w:lang w:eastAsia="zh-CN"/>
        </w:rPr>
      </w:pPr>
      <w:r>
        <w:rPr>
          <w:rFonts w:hint="eastAsia" w:cs="Times New Roman"/>
          <w:sz w:val="32"/>
          <w:szCs w:val="32"/>
          <w:lang w:eastAsia="zh-CN"/>
        </w:rPr>
        <w:t>2024</w:t>
      </w:r>
      <w:r>
        <w:rPr>
          <w:rFonts w:hint="default" w:ascii="Times New Roman" w:hAnsi="Times New Roman" w:eastAsia="仿宋_GB2312" w:cs="Times New Roman"/>
          <w:sz w:val="32"/>
          <w:szCs w:val="32"/>
          <w:lang w:eastAsia="zh-CN"/>
        </w:rPr>
        <w:t>年“三公</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经费预算数</w:t>
      </w:r>
      <w:r>
        <w:rPr>
          <w:rFonts w:hint="eastAsia" w:cs="Times New Roman"/>
          <w:sz w:val="32"/>
          <w:szCs w:val="32"/>
          <w:lang w:val="en-US" w:eastAsia="zh-CN"/>
        </w:rPr>
        <w:t>4</w:t>
      </w:r>
      <w:r>
        <w:rPr>
          <w:rFonts w:hint="default" w:ascii="Times New Roman" w:hAnsi="Times New Roman" w:eastAsia="仿宋_GB2312" w:cs="Times New Roman"/>
          <w:sz w:val="32"/>
          <w:szCs w:val="32"/>
          <w:lang w:eastAsia="zh-CN"/>
        </w:rPr>
        <w:t>万元，其中：因公出国（境）费</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万元，公务用车购置及运行维护费</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万元，公务接待费</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万元。“三公</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经费决算数</w:t>
      </w:r>
      <w:r>
        <w:rPr>
          <w:rFonts w:hint="eastAsia" w:cs="Times New Roman"/>
          <w:sz w:val="32"/>
          <w:szCs w:val="32"/>
          <w:lang w:val="en-US" w:eastAsia="zh-CN"/>
        </w:rPr>
        <w:t>2.05</w:t>
      </w:r>
      <w:r>
        <w:rPr>
          <w:rFonts w:hint="default" w:ascii="Times New Roman" w:hAnsi="Times New Roman" w:eastAsia="仿宋_GB2312" w:cs="Times New Roman"/>
          <w:sz w:val="32"/>
          <w:szCs w:val="32"/>
          <w:lang w:eastAsia="zh-CN"/>
        </w:rPr>
        <w:t>元，其中：因公出国（境）费</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万元，公务用车运行维护费万元，公务接待费</w:t>
      </w:r>
      <w:r>
        <w:rPr>
          <w:rFonts w:hint="eastAsia" w:cs="Times New Roman"/>
          <w:sz w:val="32"/>
          <w:szCs w:val="32"/>
          <w:lang w:val="en-US" w:eastAsia="zh-CN"/>
        </w:rPr>
        <w:t>2.05</w:t>
      </w:r>
      <w:r>
        <w:rPr>
          <w:rFonts w:hint="default" w:ascii="Times New Roman" w:hAnsi="Times New Roman" w:eastAsia="仿宋_GB2312" w:cs="Times New Roman"/>
          <w:sz w:val="32"/>
          <w:szCs w:val="32"/>
          <w:lang w:eastAsia="zh-CN"/>
        </w:rPr>
        <w:t>万元。</w:t>
      </w:r>
    </w:p>
    <w:p>
      <w:pPr>
        <w:spacing w:line="600" w:lineRule="exact"/>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.政府采购执行情况</w:t>
      </w:r>
    </w:p>
    <w:p>
      <w:pPr>
        <w:spacing w:line="600" w:lineRule="exact"/>
        <w:ind w:firstLine="640" w:firstLineChars="200"/>
        <w:rPr>
          <w:rFonts w:hint="default" w:ascii="楷体_GB2312" w:eastAsia="楷体_GB2312" w:cs="楷体_GB2312"/>
          <w:i w:val="0"/>
          <w:iCs w:val="0"/>
          <w:caps w:val="0"/>
          <w:color w:val="000000"/>
          <w:spacing w:val="0"/>
          <w:sz w:val="32"/>
          <w:szCs w:val="32"/>
        </w:rPr>
      </w:pPr>
      <w:r>
        <w:rPr>
          <w:rFonts w:hint="eastAsia" w:cs="Times New Roman"/>
          <w:sz w:val="32"/>
          <w:szCs w:val="32"/>
          <w:lang w:eastAsia="zh-CN"/>
        </w:rPr>
        <w:t>2024</w:t>
      </w:r>
      <w:r>
        <w:rPr>
          <w:rFonts w:hint="default" w:ascii="Times New Roman" w:hAnsi="Times New Roman" w:eastAsia="仿宋_GB2312" w:cs="Times New Roman"/>
          <w:sz w:val="32"/>
          <w:szCs w:val="32"/>
          <w:lang w:eastAsia="zh-CN"/>
        </w:rPr>
        <w:t>年度政府采购支出</w:t>
      </w:r>
      <w:r>
        <w:rPr>
          <w:rFonts w:hint="eastAsia" w:cs="Times New Roman"/>
          <w:sz w:val="32"/>
          <w:szCs w:val="32"/>
          <w:lang w:val="en-US" w:eastAsia="zh-CN"/>
        </w:rPr>
        <w:t>25.68</w:t>
      </w:r>
      <w:r>
        <w:rPr>
          <w:rFonts w:hint="default" w:ascii="Times New Roman" w:hAnsi="Times New Roman" w:eastAsia="仿宋_GB2312" w:cs="Times New Roman"/>
          <w:sz w:val="32"/>
          <w:szCs w:val="32"/>
          <w:lang w:eastAsia="zh-CN"/>
        </w:rPr>
        <w:t>万元，其中：货物</w:t>
      </w:r>
      <w:r>
        <w:rPr>
          <w:rFonts w:hint="eastAsia" w:cs="Times New Roman"/>
          <w:sz w:val="32"/>
          <w:szCs w:val="32"/>
          <w:lang w:val="en-US" w:eastAsia="zh-CN"/>
        </w:rPr>
        <w:t>25.68</w:t>
      </w:r>
      <w:r>
        <w:rPr>
          <w:rFonts w:hint="default" w:ascii="Times New Roman" w:hAnsi="Times New Roman" w:eastAsia="仿宋_GB2312" w:cs="Times New Roman"/>
          <w:sz w:val="32"/>
          <w:szCs w:val="32"/>
          <w:lang w:eastAsia="zh-CN"/>
        </w:rPr>
        <w:t>元，工程</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万元，服务</w:t>
      </w:r>
      <w:r>
        <w:rPr>
          <w:rFonts w:hint="eastAsia" w:cs="Times New Roman"/>
          <w:sz w:val="32"/>
          <w:szCs w:val="32"/>
          <w:lang w:val="en-US" w:eastAsia="zh-CN"/>
        </w:rPr>
        <w:t>0</w:t>
      </w:r>
      <w:r>
        <w:rPr>
          <w:rFonts w:hint="default" w:ascii="Times New Roman" w:hAnsi="Times New Roman" w:eastAsia="仿宋_GB2312" w:cs="Times New Roman"/>
          <w:sz w:val="32"/>
          <w:szCs w:val="32"/>
          <w:lang w:eastAsia="zh-CN"/>
        </w:rPr>
        <w:t>万元。</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9"/>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Times New Roman" w:hAnsi="Times New Roman" w:eastAsia="仿宋_GB2312" w:cs="Times New Roman"/>
          <w:color w:val="auto"/>
          <w:kern w:val="0"/>
          <w:sz w:val="32"/>
          <w:szCs w:val="32"/>
          <w:lang w:val="en-US" w:eastAsia="zh-CN" w:bidi="ar-SA"/>
        </w:rPr>
        <w:t>各预算单位有资金性质为政府性基金的</w:t>
      </w:r>
      <w:r>
        <w:rPr>
          <w:rFonts w:hint="eastAsia" w:ascii="Times New Roman" w:hAnsi="Times New Roman" w:cs="Times New Roman"/>
          <w:color w:val="auto"/>
          <w:kern w:val="0"/>
          <w:sz w:val="32"/>
          <w:szCs w:val="32"/>
          <w:lang w:val="en-US" w:eastAsia="zh-CN" w:bidi="ar-SA"/>
        </w:rPr>
        <w:t>资金</w:t>
      </w:r>
      <w:r>
        <w:rPr>
          <w:rFonts w:hint="eastAsia" w:ascii="Times New Roman" w:hAnsi="Times New Roman" w:eastAsia="仿宋_GB2312" w:cs="Times New Roman"/>
          <w:color w:val="auto"/>
          <w:kern w:val="0"/>
          <w:sz w:val="32"/>
          <w:szCs w:val="32"/>
          <w:lang w:val="en-US" w:eastAsia="zh-CN" w:bidi="ar-SA"/>
        </w:rPr>
        <w:t>则</w:t>
      </w:r>
      <w:r>
        <w:rPr>
          <w:rFonts w:hint="eastAsia" w:ascii="Times New Roman" w:hAnsi="Times New Roman" w:cs="Times New Roman"/>
          <w:color w:val="auto"/>
          <w:kern w:val="0"/>
          <w:sz w:val="32"/>
          <w:szCs w:val="32"/>
          <w:lang w:val="en-US" w:eastAsia="zh-CN" w:bidi="ar-SA"/>
        </w:rPr>
        <w:t>该项资金</w:t>
      </w:r>
      <w:r>
        <w:rPr>
          <w:rFonts w:hint="eastAsia" w:ascii="Times New Roman" w:hAnsi="Times New Roman" w:eastAsia="仿宋_GB2312" w:cs="Times New Roman"/>
          <w:color w:val="auto"/>
          <w:kern w:val="0"/>
          <w:sz w:val="32"/>
          <w:szCs w:val="32"/>
          <w:lang w:val="en-US" w:eastAsia="zh-CN" w:bidi="ar-SA"/>
        </w:rPr>
        <w:t>使用情况，反之则不写。</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Times New Roman" w:hAnsi="Times New Roman" w:eastAsia="仿宋_GB2312" w:cs="Times New Roman"/>
          <w:color w:val="auto"/>
          <w:kern w:val="0"/>
          <w:sz w:val="32"/>
          <w:szCs w:val="32"/>
          <w:lang w:val="en-US" w:eastAsia="zh-CN" w:bidi="ar-SA"/>
        </w:rPr>
        <w:t>各预算单位有资金性质为国有资本经营的</w:t>
      </w:r>
      <w:r>
        <w:rPr>
          <w:rFonts w:hint="eastAsia" w:ascii="Times New Roman" w:hAnsi="Times New Roman" w:cs="Times New Roman"/>
          <w:color w:val="auto"/>
          <w:kern w:val="0"/>
          <w:sz w:val="32"/>
          <w:szCs w:val="32"/>
          <w:lang w:val="en-US" w:eastAsia="zh-CN" w:bidi="ar-SA"/>
        </w:rPr>
        <w:t>资金</w:t>
      </w:r>
      <w:r>
        <w:rPr>
          <w:rFonts w:hint="eastAsia" w:ascii="Times New Roman" w:hAnsi="Times New Roman" w:eastAsia="仿宋_GB2312" w:cs="Times New Roman"/>
          <w:color w:val="auto"/>
          <w:kern w:val="0"/>
          <w:sz w:val="32"/>
          <w:szCs w:val="32"/>
          <w:lang w:val="en-US" w:eastAsia="zh-CN" w:bidi="ar-SA"/>
        </w:rPr>
        <w:t>则写</w:t>
      </w:r>
      <w:r>
        <w:rPr>
          <w:rFonts w:hint="eastAsia" w:ascii="Times New Roman" w:hAnsi="Times New Roman" w:cs="Times New Roman"/>
          <w:color w:val="auto"/>
          <w:kern w:val="0"/>
          <w:sz w:val="32"/>
          <w:szCs w:val="32"/>
          <w:lang w:val="en-US" w:eastAsia="zh-CN" w:bidi="ar-SA"/>
        </w:rPr>
        <w:t>该项资金</w:t>
      </w:r>
      <w:r>
        <w:rPr>
          <w:rFonts w:hint="eastAsia" w:ascii="Times New Roman" w:hAnsi="Times New Roman" w:eastAsia="仿宋_GB2312" w:cs="Times New Roman"/>
          <w:color w:val="auto"/>
          <w:kern w:val="0"/>
          <w:sz w:val="32"/>
          <w:szCs w:val="32"/>
          <w:lang w:val="en-US" w:eastAsia="zh-CN" w:bidi="ar-SA"/>
        </w:rPr>
        <w:t>使用情况，反之则不写。</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9"/>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i w:val="0"/>
          <w:iCs w:val="0"/>
          <w:caps w:val="0"/>
          <w:color w:val="000000"/>
          <w:spacing w:val="0"/>
          <w:sz w:val="32"/>
          <w:szCs w:val="32"/>
          <w:shd w:val="clear" w:fill="FFFFFF"/>
        </w:rPr>
      </w:pPr>
      <w:r>
        <w:rPr>
          <w:rFonts w:hint="eastAsia" w:ascii="Times New Roman" w:hAnsi="Times New Roman" w:eastAsia="仿宋_GB2312" w:cs="Times New Roman"/>
          <w:color w:val="auto"/>
          <w:kern w:val="0"/>
          <w:sz w:val="32"/>
          <w:szCs w:val="32"/>
          <w:lang w:val="en-US" w:eastAsia="zh-CN" w:bidi="ar-SA"/>
        </w:rPr>
        <w:t>各预算单位有资金性质为社会保险基金的</w:t>
      </w:r>
      <w:r>
        <w:rPr>
          <w:rFonts w:hint="eastAsia" w:ascii="Times New Roman" w:hAnsi="Times New Roman" w:cs="Times New Roman"/>
          <w:color w:val="auto"/>
          <w:kern w:val="0"/>
          <w:sz w:val="32"/>
          <w:szCs w:val="32"/>
          <w:lang w:val="en-US" w:eastAsia="zh-CN" w:bidi="ar-SA"/>
        </w:rPr>
        <w:t>资金</w:t>
      </w:r>
      <w:r>
        <w:rPr>
          <w:rFonts w:hint="eastAsia" w:ascii="Times New Roman" w:hAnsi="Times New Roman" w:eastAsia="仿宋_GB2312" w:cs="Times New Roman"/>
          <w:color w:val="auto"/>
          <w:kern w:val="0"/>
          <w:sz w:val="32"/>
          <w:szCs w:val="32"/>
          <w:lang w:val="en-US" w:eastAsia="zh-CN" w:bidi="ar-SA"/>
        </w:rPr>
        <w:t>则写</w:t>
      </w:r>
      <w:r>
        <w:rPr>
          <w:rFonts w:hint="eastAsia" w:ascii="Times New Roman" w:hAnsi="Times New Roman" w:cs="Times New Roman"/>
          <w:color w:val="auto"/>
          <w:kern w:val="0"/>
          <w:sz w:val="32"/>
          <w:szCs w:val="32"/>
          <w:lang w:val="en-US" w:eastAsia="zh-CN" w:bidi="ar-SA"/>
        </w:rPr>
        <w:t>该项资金</w:t>
      </w:r>
      <w:r>
        <w:rPr>
          <w:rFonts w:hint="eastAsia" w:ascii="Times New Roman" w:hAnsi="Times New Roman" w:eastAsia="仿宋_GB2312" w:cs="Times New Roman"/>
          <w:color w:val="auto"/>
          <w:kern w:val="0"/>
          <w:sz w:val="32"/>
          <w:szCs w:val="32"/>
          <w:lang w:val="en-US" w:eastAsia="zh-CN" w:bidi="ar-SA"/>
        </w:rPr>
        <w:t>使用情况，反之则不写。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县人社局整体支出绩效自评得分97.00分，评价等级为“优”。</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评价指标分析（或综合评价情况）。</w:t>
      </w:r>
      <w:r>
        <w:rPr>
          <w:rFonts w:hint="eastAsia" w:ascii="仿宋" w:hAnsi="仿宋" w:eastAsia="仿宋" w:cs="仿宋"/>
          <w:i w:val="0"/>
          <w:iCs w:val="0"/>
          <w:caps w:val="0"/>
          <w:spacing w:val="0"/>
          <w:sz w:val="30"/>
          <w:szCs w:val="30"/>
          <w:shd w:val="clear" w:fill="FFFFFF"/>
        </w:rPr>
        <w:t xml:space="preserve">评价指标体系分为预算编制与执行、财务管理、部门履职、履职效益四个一级指标，下设 </w:t>
      </w:r>
      <w:r>
        <w:rPr>
          <w:rFonts w:hint="eastAsia" w:ascii="仿宋" w:hAnsi="仿宋" w:eastAsia="仿宋" w:cs="仿宋"/>
          <w:i w:val="0"/>
          <w:iCs w:val="0"/>
          <w:caps w:val="0"/>
          <w:spacing w:val="0"/>
          <w:sz w:val="30"/>
          <w:szCs w:val="30"/>
          <w:shd w:val="clear" w:fill="FFFFFF"/>
          <w:lang w:val="en-US" w:eastAsia="zh-CN"/>
        </w:rPr>
        <w:t>11</w:t>
      </w:r>
      <w:r>
        <w:rPr>
          <w:rFonts w:hint="eastAsia" w:ascii="仿宋" w:hAnsi="仿宋" w:eastAsia="仿宋" w:cs="仿宋"/>
          <w:i w:val="0"/>
          <w:iCs w:val="0"/>
          <w:caps w:val="0"/>
          <w:spacing w:val="0"/>
          <w:sz w:val="30"/>
          <w:szCs w:val="30"/>
          <w:shd w:val="clear" w:fill="FFFFFF"/>
        </w:rPr>
        <w:t xml:space="preserve">个二级指标和 </w:t>
      </w:r>
      <w:r>
        <w:rPr>
          <w:rFonts w:hint="eastAsia" w:ascii="仿宋" w:hAnsi="仿宋" w:eastAsia="仿宋" w:cs="仿宋"/>
          <w:i w:val="0"/>
          <w:iCs w:val="0"/>
          <w:caps w:val="0"/>
          <w:spacing w:val="0"/>
          <w:sz w:val="30"/>
          <w:szCs w:val="30"/>
          <w:shd w:val="clear" w:fill="FFFFFF"/>
          <w:lang w:val="en-US" w:eastAsia="zh-CN"/>
        </w:rPr>
        <w:t>11</w:t>
      </w:r>
      <w:r>
        <w:rPr>
          <w:rFonts w:hint="eastAsia" w:ascii="仿宋" w:hAnsi="仿宋" w:eastAsia="仿宋" w:cs="仿宋"/>
          <w:i w:val="0"/>
          <w:iCs w:val="0"/>
          <w:caps w:val="0"/>
          <w:spacing w:val="0"/>
          <w:sz w:val="30"/>
          <w:szCs w:val="30"/>
          <w:shd w:val="clear" w:fill="FFFFFF"/>
        </w:rPr>
        <w:t>个三级指标，各项指标均赋予相应的权重和评分标准。预算编制与执行指标主要考察预算编制的科学性、合理性以及预算执行的及时性和准确性；财务管理指标重点关注财务制度的健全性、资金使用的合规性以及财务监督的有效性；部门履职指标评价中心在养老、失业和工伤保县基金的支付、运营、管理及人事综合管理、绩效考核评估、就业创业促进、劳动关系构建和劳动争议处理等核心业务方面的完成情况；履职效益指标从经济效益、社会效益和社会满意度等维度衡量部门工作的综合效益。</w:t>
      </w: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keepNext w:val="0"/>
        <w:keepLines w:val="0"/>
        <w:pageBreakBefore w:val="0"/>
        <w:kinsoku/>
        <w:wordWrap/>
        <w:overflowPunct/>
        <w:topLinePunct w:val="0"/>
        <w:autoSpaceDE/>
        <w:autoSpaceDN/>
        <w:bidi w:val="0"/>
        <w:adjustRightInd w:val="0"/>
        <w:snapToGrid w:val="0"/>
        <w:spacing w:line="500" w:lineRule="exact"/>
        <w:ind w:firstLine="600" w:firstLineChars="200"/>
        <w:textAlignment w:val="auto"/>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bidi="ar-SA"/>
        </w:rPr>
        <w:t>1、绩效目标设立不够明确、细化和量化。项目单位虽然设立了项目资金绩效目标，但目标不够明确、细化和量化。</w:t>
      </w:r>
    </w:p>
    <w:p>
      <w:pPr>
        <w:keepNext w:val="0"/>
        <w:keepLines w:val="0"/>
        <w:pageBreakBefore w:val="0"/>
        <w:kinsoku/>
        <w:wordWrap/>
        <w:overflowPunct/>
        <w:topLinePunct w:val="0"/>
        <w:autoSpaceDE/>
        <w:autoSpaceDN/>
        <w:bidi w:val="0"/>
        <w:adjustRightInd w:val="0"/>
        <w:snapToGrid w:val="0"/>
        <w:spacing w:line="500" w:lineRule="exact"/>
        <w:ind w:firstLine="60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color w:val="auto"/>
          <w:kern w:val="0"/>
          <w:sz w:val="30"/>
          <w:szCs w:val="30"/>
          <w:lang w:val="en-US" w:eastAsia="zh-CN" w:bidi="ar-SA"/>
        </w:rPr>
        <w:t>2、财政预算资金安排不足，比如专项经费的预算，因无法纳入财政预算而导致预算数和决算数相差较大；工资的政策性调整，年初未列入预算，而实际工资福利支出增加。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八、下一步改进措施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firstLine="600" w:firstLineChars="200"/>
        <w:jc w:val="both"/>
        <w:textAlignment w:val="auto"/>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bidi="ar-SA"/>
        </w:rPr>
        <w:t>1. 加强单位预算编制工作，根据人员情况、业务开展需要，逐项作出预算计划，预算合理、不留缺口、不留空项。 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firstLine="600" w:firstLineChars="200"/>
        <w:jc w:val="both"/>
        <w:textAlignment w:val="auto"/>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bidi="ar-SA"/>
        </w:rPr>
        <w:t>2. 加强业务培训，提高评价水平。部门整体绩效评价工作是一项长期性的工作，专业性强，工作量大，建议上级部门多开展部门领导及经办人员相关的政策、业务工作培训，组织开展部门之间、单位之间的经验交流，切实推进绩效评价工作的开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00" w:lineRule="exact"/>
        <w:ind w:right="0" w:firstLine="600" w:firstLineChars="200"/>
        <w:jc w:val="both"/>
        <w:textAlignment w:val="auto"/>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bidi="ar-SA"/>
        </w:rPr>
        <w:t>3.预算财务分析常态化，定期做好预算支出财务分析，做好部门整体支出预算评价工作。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0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0"/>
          <w:szCs w:val="30"/>
          <w:shd w:val="clear" w:fill="FFFFFF"/>
          <w:lang w:val="en-US" w:eastAsia="zh-CN"/>
        </w:rPr>
        <w:t>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jc w:val="left"/>
        <w:rPr>
          <w:rFonts w:hint="eastAsia" w:ascii="仿宋" w:hAnsi="仿宋" w:eastAsia="仿宋" w:cs="仿宋"/>
          <w:b/>
          <w:bCs/>
          <w:sz w:val="30"/>
          <w:szCs w:val="30"/>
          <w:lang w:val="en-US" w:eastAsia="zh-CN"/>
        </w:rPr>
      </w:pPr>
    </w:p>
    <w:sectPr>
      <w:pgSz w:w="11906" w:h="16838"/>
      <w:pgMar w:top="1440" w:right="1134"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060B7"/>
    <w:multiLevelType w:val="singleLevel"/>
    <w:tmpl w:val="312060B7"/>
    <w:lvl w:ilvl="0" w:tentative="0">
      <w:start w:val="3"/>
      <w:numFmt w:val="chineseCounting"/>
      <w:suff w:val="nothing"/>
      <w:lvlText w:val="%1、"/>
      <w:lvlJc w:val="left"/>
      <w:rPr>
        <w:rFonts w:hint="eastAsia"/>
      </w:rPr>
    </w:lvl>
  </w:abstractNum>
  <w:abstractNum w:abstractNumId="1">
    <w:nsid w:val="7EC27127"/>
    <w:multiLevelType w:val="singleLevel"/>
    <w:tmpl w:val="7EC2712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hNzQ2MjQ5NDkyMDRkYzkzMWFkMjIxOTZlMDdjMzQifQ=="/>
    <w:docVar w:name="KSO_WPS_MARK_KEY" w:val="2cad2da4-8c74-4208-b950-09c4ddb6f378"/>
  </w:docVars>
  <w:rsids>
    <w:rsidRoot w:val="00000000"/>
    <w:rsid w:val="129640D0"/>
    <w:rsid w:val="1EA33F65"/>
    <w:rsid w:val="269E5DD8"/>
    <w:rsid w:val="2D5F302E"/>
    <w:rsid w:val="32636C88"/>
    <w:rsid w:val="4B72396B"/>
    <w:rsid w:val="545968FB"/>
    <w:rsid w:val="75DD1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szCs w:val="28"/>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jc w:val="left"/>
    </w:pPr>
    <w:rPr>
      <w:sz w:val="18"/>
      <w:szCs w:val="18"/>
    </w:rPr>
  </w:style>
  <w:style w:type="paragraph" w:customStyle="1" w:styleId="3">
    <w:name w:val="UserStyle_0"/>
    <w:basedOn w:val="4"/>
    <w:next w:val="1"/>
    <w:qFormat/>
    <w:uiPriority w:val="99"/>
    <w:pPr>
      <w:ind w:left="800" w:leftChars="800"/>
      <w:textAlignment w:val="baseline"/>
    </w:pPr>
  </w:style>
  <w:style w:type="paragraph" w:customStyle="1" w:styleId="4">
    <w:name w:val="正文 New"/>
    <w:next w:val="5"/>
    <w:qFormat/>
    <w:uiPriority w:val="0"/>
    <w:pPr>
      <w:jc w:val="both"/>
      <w:textAlignment w:val="baseline"/>
    </w:pPr>
    <w:rPr>
      <w:rFonts w:ascii="Times New Roman" w:hAnsi="Times New Roman" w:eastAsia="宋体" w:cs="黑体"/>
      <w:kern w:val="2"/>
      <w:sz w:val="21"/>
      <w:szCs w:val="24"/>
      <w:lang w:val="en-US" w:eastAsia="zh-CN" w:bidi="ar-SA"/>
    </w:rPr>
  </w:style>
  <w:style w:type="paragraph" w:customStyle="1" w:styleId="5">
    <w:name w:val="页脚 New"/>
    <w:basedOn w:val="4"/>
    <w:next w:val="3"/>
    <w:qFormat/>
    <w:uiPriority w:val="0"/>
    <w:pPr>
      <w:tabs>
        <w:tab w:val="center" w:pos="4153"/>
        <w:tab w:val="right" w:pos="8306"/>
      </w:tabs>
      <w:snapToGrid w:val="0"/>
      <w:spacing w:line="240" w:lineRule="auto"/>
      <w:jc w:val="left"/>
      <w:textAlignment w:val="baseline"/>
    </w:pPr>
    <w:rPr>
      <w:rFonts w:ascii="Calibri" w:hAnsi="Calibri" w:eastAsia="宋体"/>
      <w:kern w:val="2"/>
      <w:sz w:val="18"/>
      <w:szCs w:val="24"/>
      <w:lang w:val="en-US" w:eastAsia="zh-CN"/>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List Paragraph"/>
    <w:basedOn w:val="1"/>
    <w:qFormat/>
    <w:uiPriority w:val="99"/>
    <w:pPr>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2551</Words>
  <Characters>2668</Characters>
  <Lines>0</Lines>
  <Paragraphs>0</Paragraphs>
  <TotalTime>4</TotalTime>
  <ScaleCrop>false</ScaleCrop>
  <LinksUpToDate>false</LinksUpToDate>
  <CharactersWithSpaces>2687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2021-09-17T07:11:00Z</dcterms:created>
  <dc:creator>Administrator</dc:creator>
  <cp:lastModifiedBy>陈琪</cp:lastModifiedBy>
  <cp:lastPrinted>2025-04-14T01:08:00Z</cp:lastPrinted>
  <dcterms:modified xsi:type="dcterms:W3CDTF">2025-04-14T03:18:46Z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6C1FF18C1F4C43F690C84DCDEF9C0A8F</vt:lpwstr>
  </property>
</Properties>
</file>