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附件1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Bdr/>
        <w:spacing w:line="600" w:lineRule="exact"/>
        <w:ind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 w:line="600" w:lineRule="exact"/>
        <w:ind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 xml:space="preserve"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 xml:space="preserve">4</w:t>
      </w:r>
      <w:r>
        <w:rPr>
          <w:rFonts w:ascii="Times New Roman" w:hAnsi="Times New Roman" w:eastAsia="方正小标宋_GBK" w:cs="Times New Roman"/>
          <w:sz w:val="52"/>
          <w:szCs w:val="52"/>
        </w:rPr>
        <w:t xml:space="preserve">年度</w:t>
      </w:r>
      <w:r>
        <w:rPr>
          <w:rFonts w:hint="eastAsia" w:eastAsia="方正小标宋_GBK" w:cs="Times New Roman"/>
          <w:sz w:val="52"/>
          <w:szCs w:val="52"/>
          <w:lang w:eastAsia="zh-CN"/>
        </w:rPr>
        <w:t xml:space="preserve">县委编办部门</w:t>
      </w:r>
      <w:r>
        <w:rPr>
          <w:rFonts w:ascii="Times New Roman" w:hAnsi="Times New Roman" w:eastAsia="方正小标宋_GBK" w:cs="Times New Roman"/>
          <w:sz w:val="52"/>
          <w:szCs w:val="52"/>
        </w:rPr>
        <w:t xml:space="preserve">整体支出</w:t>
      </w:r>
      <w:r>
        <w:rPr>
          <w:rFonts w:ascii="Times New Roman" w:hAnsi="Times New Roman" w:eastAsia="方正小标宋_GBK" w:cs="Times New Roman"/>
          <w:sz w:val="52"/>
          <w:szCs w:val="52"/>
        </w:rPr>
      </w:r>
    </w:p>
    <w:p>
      <w:pPr>
        <w:pBdr/>
        <w:spacing/>
        <w:ind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 xml:space="preserve">绩效自评报告</w:t>
      </w:r>
      <w:r>
        <w:rPr>
          <w:rFonts w:ascii="Times New Roman" w:hAnsi="Times New Roman" w:eastAsia="方正小标宋_GBK" w:cs="Times New Roman"/>
          <w:sz w:val="52"/>
          <w:szCs w:val="52"/>
        </w:rPr>
      </w:r>
    </w:p>
    <w:p>
      <w:pPr>
        <w:pBdr/>
        <w:spacing/>
        <w:ind/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  <w:r>
        <w:rPr>
          <w:rFonts w:ascii="Times New Roman" w:hAnsi="Times New Roman" w:eastAsia="方正小标宋_GBK" w:cs="Times New Roman"/>
          <w:b/>
          <w:sz w:val="52"/>
          <w:szCs w:val="52"/>
        </w:rPr>
      </w:r>
      <w:r>
        <w:rPr>
          <w:rFonts w:ascii="Times New Roman" w:hAnsi="Times New Roman" w:eastAsia="方正小标宋_GBK" w:cs="Times New Roman"/>
          <w:b/>
          <w:sz w:val="52"/>
          <w:szCs w:val="5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</w:r>
      <w:r>
        <w:rPr>
          <w:rFonts w:ascii="Times New Roman" w:hAnsi="Times New Roman" w:eastAsia="黑体" w:cs="Times New Roman"/>
          <w:sz w:val="32"/>
          <w:szCs w:val="32"/>
        </w:rPr>
      </w:r>
    </w:p>
    <w:p>
      <w:pPr>
        <w:pBdr/>
        <w:spacing w:line="600" w:lineRule="exact"/>
        <w:ind w:firstLine="24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 xml:space="preserve"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 xml:space="preserve"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r>
    </w:p>
    <w:p>
      <w:pPr>
        <w:pBdr/>
        <w:spacing w:line="600" w:lineRule="exact"/>
        <w:ind w:firstLine="28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2025</w:t>
      </w:r>
      <w:r>
        <w:rPr>
          <w:rFonts w:hint="eastAsia" w:ascii="仿宋" w:hAnsi="仿宋" w:eastAsia="仿宋" w:cs="仿宋"/>
          <w:sz w:val="40"/>
          <w:szCs w:val="40"/>
        </w:rPr>
        <w:t xml:space="preserve"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 xml:space="preserve"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11</w:t>
      </w:r>
      <w:r>
        <w:rPr>
          <w:rFonts w:hint="eastAsia" w:ascii="仿宋" w:hAnsi="仿宋" w:eastAsia="仿宋" w:cs="仿宋"/>
          <w:sz w:val="40"/>
          <w:szCs w:val="40"/>
        </w:rPr>
        <w:t xml:space="preserve">日</w:t>
      </w:r>
      <w:r>
        <w:rPr>
          <w:rFonts w:hint="eastAsia" w:ascii="仿宋" w:hAnsi="仿宋" w:eastAsia="仿宋" w:cs="仿宋"/>
          <w:sz w:val="40"/>
          <w:szCs w:val="4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 xml:space="preserve"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 xml:space="preserve"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 xml:space="preserve"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 xml:space="preserve">县委编办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 xml:space="preserve">部门整体支出绩效自评报告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（参考提纲）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jc w:val="center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一、部门、单位基本情况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（一）机构设置情况</w:t>
      </w:r>
      <w:r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城步县委编办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单位内设机构包括：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内设股室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分别是综合组、机构编制管理组、改革与政策法规组、事业单位登记管理组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所属二级单位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个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 xml:space="preserve"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为城步苗族自治县机构编制事务中心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 xml:space="preserve">。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 xml:space="preserve"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人员编制情况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spacing w:line="560" w:lineRule="exact"/>
        <w:ind w:firstLine="640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城步县委编办行政编制9名，工勤编制1名，事业编制5名，年末实有人数为12人，退休5人。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（三）主要职能职责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spacing w:line="560" w:lineRule="exact"/>
        <w:ind w:firstLine="64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统一管理全县各级行政机关和事业单位的机构编制工作；拟定全县行政管理体制与机构改革总体方案并组织实施；拟定全县事业单位管理体制与机构改革总体方案并组织实施；审核县直机关部门、事业单位人员编制方案；拟定全县乡镇机构改革总体方案并指导实施；依法对全县机关事业单位进行赋码和登记，域名管理等。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1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绩效目标设定情况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keepNext w:val="false"/>
        <w:keepLines w:val="false"/>
        <w:pageBreakBefore w:val="false"/>
        <w:numPr>
          <w:ilvl w:val="0"/>
          <w:numId w:val="0"/>
        </w:numPr>
        <w:pBdr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持续深化机构改革，优化机构职能配置。先后完成党政群机关机构改革、行政执法体制改革、乡镇机构改革、优化调整议事协调机构，高质高效全面完成改革任务并通过市委编办验收。加强机构编制监督检查。开展机构编制违规违纪行为。完成省委第七轮巡视工作。本轮巡视包含机构编制专项巡视，我办迅速且全面地整理资料，如实汇报工作情况。确保巡视工作推进顺畅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有序推进机关赋码和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事业单位登记工作。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 xml:space="preserve">狠抓举措开展党史学习教育，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稳步推进乡村振兴工作。</w:t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0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keepNext w:val="false"/>
        <w:keepLines w:val="false"/>
        <w:pageBreakBefore w:val="false"/>
        <w:numPr>
          <w:ilvl w:val="0"/>
          <w:numId w:val="0"/>
        </w:numPr>
        <w:pBdr/>
        <w:spacing w:line="520" w:lineRule="exact"/>
        <w:ind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 xml:space="preserve">二、部门整体支出管理及使用情况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r>
    </w:p>
    <w:p>
      <w:pPr>
        <w:pStyle w:val="630"/>
        <w:widowControl w:val="true"/>
        <w:pBdr/>
        <w:spacing w:line="600" w:lineRule="exact"/>
        <w:ind w:firstLine="0" w:left="64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（一）</w:t>
      </w:r>
      <w:r>
        <w:rPr>
          <w:rFonts w:hint="eastAsia" w:eastAsia="楷体_GB2312" w:cs="Times New Roman"/>
          <w:sz w:val="32"/>
          <w:szCs w:val="32"/>
          <w:lang w:eastAsia="zh-CN"/>
        </w:rPr>
        <w:t xml:space="preserve"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预决算情况</w:t>
      </w:r>
      <w:r>
        <w:rPr>
          <w:rFonts w:hint="default" w:ascii="Times New Roman" w:hAnsi="Times New Roman" w:eastAsia="楷体_GB2312" w:cs="Times New Roman"/>
          <w:sz w:val="32"/>
          <w:szCs w:val="32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1.部门预算情况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收入预算：202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年初预算收入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252.9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万元，其中：一般公共预算拨款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252.9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万元。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基本支出198万元，项目支出54.5万元。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202</w:t>
      </w:r>
      <w:r>
        <w:rPr>
          <w:rFonts w:hint="eastAsia" w:cs="Times New Roman"/>
          <w:sz w:val="32"/>
          <w:szCs w:val="32"/>
          <w:lang w:val="en-US" w:eastAsia="zh-CN"/>
        </w:rPr>
        <w:t xml:space="preserve"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年决算总收入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321.02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万元，较预算增加</w:t>
      </w:r>
      <w:r>
        <w:rPr>
          <w:rFonts w:hint="eastAsia" w:cs="Times New Roman"/>
          <w:sz w:val="32"/>
          <w:szCs w:val="32"/>
          <w:lang w:val="en-US" w:eastAsia="zh-CN"/>
        </w:rPr>
        <w:t xml:space="preserve">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3</w:t>
      </w:r>
      <w:r>
        <w:rPr>
          <w:rFonts w:hint="eastAsia" w:ascii="仿宋_GB2312" w:hAnsi="仿宋"/>
          <w:sz w:val="32"/>
          <w:szCs w:val="32"/>
          <w:lang w:val="en-US" w:eastAsia="zh-CN"/>
        </w:rPr>
        <w:t xml:space="preserve">21.02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 xml:space="preserve">259.16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万元，占总支出的</w:t>
      </w:r>
      <w:r>
        <w:rPr>
          <w:rFonts w:hint="eastAsia" w:cs="Times New Roman"/>
          <w:sz w:val="32"/>
          <w:szCs w:val="32"/>
          <w:lang w:val="en-US" w:eastAsia="zh-CN"/>
        </w:rPr>
        <w:t xml:space="preserve"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％；项目支出</w:t>
      </w:r>
      <w:r>
        <w:rPr>
          <w:rFonts w:hint="eastAsia" w:cs="Times New Roman"/>
          <w:sz w:val="32"/>
          <w:szCs w:val="32"/>
          <w:lang w:val="en-US" w:eastAsia="zh-CN"/>
        </w:rPr>
        <w:t xml:space="preserve">61.86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万元，占总支出的</w:t>
      </w:r>
      <w:r>
        <w:rPr>
          <w:rFonts w:hint="eastAsia" w:cs="Times New Roman"/>
          <w:sz w:val="32"/>
          <w:szCs w:val="32"/>
          <w:lang w:val="en-US" w:eastAsia="zh-CN"/>
        </w:rPr>
        <w:t xml:space="preserve"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％。差异产生的主要原因是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发放基础性绩效奖</w:t>
      </w:r>
      <w:r>
        <w:rPr>
          <w:rFonts w:hint="eastAsia" w:ascii="仿宋_GB2312" w:hAnsi="仿宋"/>
          <w:sz w:val="32"/>
          <w:szCs w:val="32"/>
          <w:lang w:val="en-US" w:eastAsia="zh-CN"/>
        </w:rPr>
        <w:t xml:space="preserve">，在职人员病故抚恤金，退休人员职业年金</w:t>
      </w:r>
      <w:bookmarkStart w:id="0" w:name="_GoBack"/>
      <w:r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  <w:t xml:space="preserve">（二）部门预算执行情况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经费执行情况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经费预算数</w:t>
      </w:r>
      <w:r>
        <w:rPr>
          <w:rFonts w:hint="eastAsia" w:cs="Times New Roman"/>
          <w:sz w:val="32"/>
          <w:szCs w:val="32"/>
          <w:lang w:val="en-US" w:eastAsia="zh-CN"/>
        </w:rPr>
        <w:t xml:space="preserve"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万元，公务接待费</w:t>
      </w:r>
      <w:r>
        <w:rPr>
          <w:rFonts w:hint="eastAsia" w:cs="Times New Roman"/>
          <w:sz w:val="32"/>
          <w:szCs w:val="32"/>
          <w:lang w:val="en-US" w:eastAsia="zh-CN"/>
        </w:rPr>
        <w:t xml:space="preserve"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经费决算数</w:t>
      </w:r>
      <w:r>
        <w:rPr>
          <w:rFonts w:hint="eastAsia" w:cs="Times New Roman"/>
          <w:sz w:val="32"/>
          <w:szCs w:val="32"/>
          <w:lang w:val="en-US" w:eastAsia="zh-CN"/>
        </w:rPr>
        <w:t xml:space="preserve">2.499万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万元，公务接待费</w:t>
      </w:r>
      <w:r>
        <w:rPr>
          <w:rFonts w:hint="eastAsia" w:cs="Times New Roman"/>
          <w:sz w:val="32"/>
          <w:szCs w:val="32"/>
          <w:lang w:val="en-US" w:eastAsia="zh-CN"/>
        </w:rPr>
        <w:t xml:space="preserve">2.499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.政府采购执行情况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202</w:t>
      </w:r>
      <w:r>
        <w:rPr>
          <w:rFonts w:hint="eastAsia" w:cs="Times New Roman"/>
          <w:sz w:val="32"/>
          <w:szCs w:val="32"/>
          <w:lang w:val="en-US" w:eastAsia="zh-CN"/>
        </w:rPr>
        <w:t xml:space="preserve"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年度政府采购支出</w:t>
      </w:r>
      <w:r>
        <w:rPr>
          <w:rFonts w:hint="eastAsia" w:cs="Times New Roman"/>
          <w:sz w:val="32"/>
          <w:szCs w:val="32"/>
          <w:lang w:val="en-US" w:eastAsia="zh-CN"/>
        </w:rPr>
        <w:t xml:space="preserve">37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万元，其中：货物</w:t>
      </w:r>
      <w:r>
        <w:rPr>
          <w:rFonts w:hint="eastAsia" w:cs="Times New Roman"/>
          <w:sz w:val="32"/>
          <w:szCs w:val="32"/>
          <w:lang w:val="en-US" w:eastAsia="zh-CN"/>
        </w:rPr>
        <w:t xml:space="preserve">37万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元，工程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万元，服务</w:t>
      </w:r>
      <w:r>
        <w:rPr>
          <w:rFonts w:hint="eastAsia" w:cs="Times New Roman"/>
          <w:sz w:val="32"/>
          <w:szCs w:val="32"/>
          <w:lang w:val="en-US" w:eastAsia="zh-CN"/>
        </w:rPr>
        <w:t xml:space="preserve"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万元。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政府性基金预算支出情况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30"/>
        <w:keepNext w:val="false"/>
        <w:keepLines w:val="false"/>
        <w:pageBreakBefore w:val="false"/>
        <w:widowControl w:val="true"/>
        <w:pBdr/>
        <w:spacing w:line="560" w:lineRule="exact"/>
        <w:ind w:firstLine="64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各预算单位有资金性质为政府性基金的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则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该项资金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使用情况，反之则不写。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国有资本经营预算支出情况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0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64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各预算单位有资金性质为国有资本经营的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则写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该项资金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使用情况，反之则不写。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社会保险基金预算支出情况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30"/>
        <w:keepNext w:val="false"/>
        <w:keepLines w:val="false"/>
        <w:pageBreakBefore w:val="false"/>
        <w:widowControl w:val="true"/>
        <w:pBdr/>
        <w:spacing w:line="560" w:lineRule="exact"/>
        <w:ind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各预算单位有资金性质为社会保险基金的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则写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该项资金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使用情况，反之则不写。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六、部门整体支出绩效情况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widowControl w:val="true"/>
        <w:pBdr/>
        <w:spacing w:line="560" w:lineRule="exact"/>
        <w:ind w:firstLine="3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（一）综合评价结论。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机构编制管理工作旨在管理全县行政事业单位编制，为我县县域经济发展保驾护航。我办通过强化预算收支管理，建立健全内控制度，部门整体支出绩效成效较好。</w:t>
      </w:r>
      <w:r>
        <w:rPr>
          <w:rFonts w:hint="eastAsia" w:ascii="仿宋" w:hAnsi="仿宋" w:eastAsia="仿宋" w:cs="仿宋"/>
          <w:sz w:val="32"/>
          <w:szCs w:val="32"/>
        </w:rPr>
        <w:t xml:space="preserve">对照整体支出绩效评价指标，我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</w:t>
      </w:r>
      <w:r>
        <w:rPr>
          <w:rFonts w:hint="eastAsia" w:ascii="仿宋" w:hAnsi="仿宋" w:eastAsia="仿宋" w:cs="仿宋"/>
          <w:sz w:val="32"/>
          <w:szCs w:val="32"/>
        </w:rPr>
        <w:t xml:space="preserve">自评分为</w:t>
      </w:r>
      <w:r>
        <w:rPr>
          <w:rFonts w:ascii="仿宋" w:hAnsi="仿宋" w:eastAsia="仿宋" w:cs="仿宋"/>
          <w:sz w:val="32"/>
          <w:szCs w:val="32"/>
        </w:rPr>
        <w:t xml:space="preserve"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</w:t>
      </w:r>
      <w:r>
        <w:rPr>
          <w:rFonts w:hint="eastAsia" w:ascii="仿宋" w:hAnsi="仿宋" w:eastAsia="仿宋" w:cs="仿宋"/>
          <w:sz w:val="32"/>
          <w:szCs w:val="32"/>
        </w:rPr>
        <w:t xml:space="preserve">分。</w:t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32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（二）评价指标分析（或综合评价情况）。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30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after="0" w:afterAutospacing="0" w:before="0" w:beforeAutospacing="0" w:line="56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机构编制资源是重要的政治资源、执政资源。以坚持和加强党的全面领导为统领，以推进党和国家机构职能优化协同高效为着力点，优化职能配置，提高效率效能是我们的工作目标。为保障机构编制各项工作顺利开展，依据本年度工作规划，我办将项目经费纳入年初预算，并制订相应绩效目标。按季节进行绩效考核和自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持续深化机构改革，优化机构职能配置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严格对标对表、积极衔接省市、迅速稳妥推进、抓好舆情稳控，先后完成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党政群机关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机构改革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行政执法体制改革、乡镇机构改革、优化调整议事协调机构，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高质高效全面完成改革任务并通过市委编办验收。（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 xml:space="preserve">2）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加强机构编制监督检查。开展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 xml:space="preserve">机构编制违规违纪行为。按照省市统一部署，由县委编办牵头，县纪委监委、县委组织部、县委督查室、县财政局、县人社局等多个职能部门，分成4个联合督导组对全县60个机关事业单位进行机构编制违规违纪行为进行全面督查指导。对未按“三定”规定设置机构、抽借调工作人员的行为限期整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清理乱挂机构牌子和严控机构加挂牌子。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 xml:space="preserve">实地走访12个乡镇、48个党政群机关（不含下设机构）、305个事业单位，共计清理出挂牌169个。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完成省委第七轮巡视工作。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本轮巡视包含机构编制专项巡视，我办迅速且全面地整理资料，如实汇报工作情况。确保巡视工作推进顺畅。在省委巡视机构编制专项检查中期调研中得到省委编办的好评。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完成事业单位登记管理和域名管理各项工作。为全面建设社会主义现代化国家提供有力的制度保障和组织保障。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320"/>
        <w:rPr>
          <w:rFonts w:hint="default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r>
      <w:r>
        <w:rPr>
          <w:rFonts w:hint="default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七、存在的问题及原因分析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560" w:lineRule="exact"/>
        <w:ind w:firstLine="640"/>
        <w:jc w:val="left"/>
        <w:rPr>
          <w:rFonts w:hint="default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因上级对机构编制工作的要求越来越高，工作量也在不断加大，但经费相对紧张，不能及时支付相关经费。</w:t>
      </w:r>
      <w:r>
        <w:rPr>
          <w:rFonts w:hint="default" w:cs="Times New Roman"/>
          <w:color w:val="auto"/>
          <w:sz w:val="32"/>
          <w:szCs w:val="32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3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下一步改进措施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numPr>
          <w:ilvl w:val="0"/>
          <w:numId w:val="0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希望财政能提供有力的资金保障。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九、其他需要说明的情况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 w:lef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报告应包括以下附件：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部门整体支出绩效自评表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jc w:val="left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3、项目支出绩效自评表（每个项目支出一张表！）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 w:firstLine="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atLeast"/>
        <w:ind w:right="0" w:firstLine="0" w:lef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r>
    </w:p>
    <w:p>
      <w:pPr>
        <w:pStyle w:val="629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80" w:lineRule="exact"/>
        <w:ind w:right="0" w:firstLine="0" w:lef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r>
    </w:p>
    <w:p>
      <w:pPr>
        <w:pBdr/>
        <w:spacing/>
        <w:ind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134" w:bottom="1440" w:left="1701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60101010101"/>
  </w:font>
  <w:font w:name="仿宋">
    <w:panose1 w:val="02010609060101010101"/>
  </w:font>
  <w:font w:name="黑体">
    <w:panose1 w:val="02010609060101010101"/>
  </w:font>
  <w:font w:name="方正小标宋_GBK">
    <w:panose1 w:val="020B0604020202020204"/>
  </w:font>
  <w:font w:name="Symbol">
    <w:panose1 w:val="05050102010706020507"/>
  </w:font>
  <w:font w:name="Wingdings">
    <w:panose1 w:val="05000000000000000000"/>
  </w:font>
  <w:font w:name="宋体">
    <w:panose1 w:val="02010600030101010101"/>
  </w:font>
  <w:font w:name="仿宋_GB2312">
    <w:panose1 w:val="0201060906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8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（%1）"/>
      <w:numFmt w:val="chineseCounting"/>
      <w:pPr>
        <w:pBdr/>
        <w:spacing/>
        <w:ind/>
      </w:pPr>
      <w:rPr>
        <w:rFonts w:hint="eastAsia"/>
      </w:rPr>
      <w:start w:val="4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3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5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5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5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4"/>
    <w:next w:val="62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5"/>
    <w:link w:val="42"/>
    <w:uiPriority w:val="99"/>
    <w:pPr>
      <w:pBdr/>
      <w:spacing/>
      <w:ind/>
    </w:pPr>
  </w:style>
  <w:style w:type="paragraph" w:styleId="44">
    <w:name w:val="Footer"/>
    <w:basedOn w:val="62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5"/>
    <w:link w:val="44"/>
    <w:uiPriority w:val="99"/>
    <w:pPr>
      <w:pBdr/>
      <w:spacing/>
      <w:ind/>
    </w:pPr>
  </w:style>
  <w:style w:type="paragraph" w:styleId="46">
    <w:name w:val="Caption"/>
    <w:basedOn w:val="624"/>
    <w:next w:val="6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4"/>
    <w:next w:val="62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4"/>
    <w:next w:val="62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4"/>
    <w:next w:val="62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4"/>
    <w:next w:val="62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4"/>
    <w:next w:val="62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4"/>
    <w:next w:val="62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4"/>
    <w:next w:val="62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4"/>
    <w:next w:val="62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4"/>
    <w:next w:val="624"/>
    <w:uiPriority w:val="99"/>
    <w:unhideWhenUsed/>
    <w:pPr>
      <w:pBdr/>
      <w:spacing w:after="0" w:afterAutospacing="0"/>
      <w:ind/>
    </w:pPr>
  </w:style>
  <w:style w:type="paragraph" w:styleId="624" w:default="1">
    <w:name w:val="Normal"/>
    <w:next w:val="627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ar-SA"/>
    </w:rPr>
  </w:style>
  <w:style w:type="character" w:styleId="625" w:default="1">
    <w:name w:val="Default Paragraph Font"/>
    <w:uiPriority w:val="0"/>
    <w:semiHidden/>
    <w:qFormat/>
    <w:pPr>
      <w:pBdr/>
      <w:spacing/>
      <w:ind/>
    </w:pPr>
  </w:style>
  <w:style w:type="table" w:styleId="626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7">
    <w:name w:val="Body Text First Indent"/>
    <w:basedOn w:val="628"/>
    <w:uiPriority w:val="0"/>
    <w:qFormat/>
    <w:pPr>
      <w:pBdr/>
      <w:spacing/>
      <w:ind w:firstLine="420"/>
    </w:pPr>
  </w:style>
  <w:style w:type="paragraph" w:styleId="628">
    <w:name w:val="Body Text"/>
    <w:basedOn w:val="624"/>
    <w:uiPriority w:val="0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paragraph" w:styleId="629">
    <w:name w:val="Normal (Web)"/>
    <w:basedOn w:val="624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paragraph" w:styleId="630" w:customStyle="1">
    <w:name w:val="List Paragraph"/>
    <w:basedOn w:val="624"/>
    <w:uiPriority w:val="99"/>
    <w:qFormat/>
    <w:pPr>
      <w:pBdr/>
      <w:spacing/>
      <w:ind w:firstLine="420"/>
    </w:pPr>
    <w:rPr>
      <w:rFonts w:ascii="Times New Roman" w:hAnsi="Times New Roman"/>
      <w:szCs w:val="24"/>
    </w:rPr>
  </w:style>
  <w:style w:type="numbering" w:styleId="110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2021-09-17T07:11:00Z</dcterms:created>
  <dcterms:modified xsi:type="dcterms:W3CDTF">2026-03-16T02:00:04Z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8912591E5A554E9AADD6A61DB069F99C_13</vt:lpwstr>
  </property>
  <property fmtid="{D5CDD505-2E9C-101B-9397-08002B2CF9AE}" pid="4" name="KSOTemplateDocerSaveRecord">
    <vt:lpwstr>eyJoZGlkIjoiODVmMDMyZTExYmVkZGFkODBiZWU0ZGFhOThlMzEwNDIiLCJ1c2VySWQiOiIzODEzMTM4ODIifQ==</vt:lpwstr>
  </property>
</Properties>
</file>