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附件1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202</w:t>
      </w:r>
      <w:r>
        <w:rPr>
          <w:rFonts w:hint="eastAsia" w:eastAsia="方正小标宋_GBK"/>
          <w:sz w:val="52"/>
          <w:szCs w:val="52"/>
        </w:rPr>
        <w:t>3</w:t>
      </w:r>
      <w:r>
        <w:rPr>
          <w:rFonts w:eastAsia="方正小标宋_GBK"/>
          <w:sz w:val="52"/>
          <w:szCs w:val="52"/>
        </w:rPr>
        <w:t>年度</w:t>
      </w:r>
      <w:r>
        <w:rPr>
          <w:rFonts w:hint="eastAsia" w:eastAsia="方正小标宋_GBK"/>
          <w:sz w:val="52"/>
          <w:szCs w:val="52"/>
        </w:rPr>
        <w:t>县委宣传部部门</w:t>
      </w:r>
      <w:r>
        <w:rPr>
          <w:rFonts w:eastAsia="方正小标宋_GBK"/>
          <w:sz w:val="52"/>
          <w:szCs w:val="52"/>
        </w:rPr>
        <w:t>整体支出</w:t>
      </w:r>
    </w:p>
    <w:p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1200" w:firstLineChars="300"/>
        <w:rPr>
          <w:rFonts w:ascii="仿宋" w:hAnsi="仿宋" w:eastAsia="仿宋" w:cs="仿宋"/>
          <w:sz w:val="40"/>
          <w:szCs w:val="40"/>
          <w:u w:val="single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</w:rPr>
        <w:t xml:space="preserve">城步苗族自治县委宣传部 </w:t>
      </w:r>
    </w:p>
    <w:p>
      <w:pPr>
        <w:spacing w:line="600" w:lineRule="exact"/>
        <w:ind w:firstLine="2800" w:firstLineChars="700"/>
        <w:rPr>
          <w:rFonts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</w:rPr>
        <w:t>2024年 5 月31日</w:t>
      </w:r>
    </w:p>
    <w:p/>
    <w:p/>
    <w:p/>
    <w:p/>
    <w:p/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  <w:bookmarkStart w:id="2" w:name="_GoBack"/>
      <w:bookmarkEnd w:id="2"/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2023年度县委宣传部部门整体支出绩效自评</w:t>
      </w:r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报告</w:t>
      </w:r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仿宋_GB2312" w:cs="仿宋_GB2312"/>
          <w:color w:val="000000"/>
          <w:szCs w:val="24"/>
        </w:rPr>
      </w:pPr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一、部门、单位基本情况</w:t>
      </w:r>
    </w:p>
    <w:p>
      <w:pPr>
        <w:widowControl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（一）机构、人员构成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bookmarkStart w:id="0" w:name="ORG_SET"/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城步苗族自治县委宣传部，内设办公室、意识形态（思想政治）组、党教理教组、宣传新闻组、文化体育组、新闻出版（版权电影）组、文明办（挂县新时代文明实践中心办公室牌子），核定编制 19人。</w:t>
      </w:r>
      <w:bookmarkEnd w:id="0"/>
    </w:p>
    <w:p>
      <w:pPr>
        <w:widowControl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（二）</w:t>
      </w:r>
      <w:r>
        <w:rPr>
          <w:rFonts w:eastAsia="楷体_GB2312"/>
          <w:bCs/>
          <w:sz w:val="32"/>
          <w:szCs w:val="32"/>
        </w:rPr>
        <w:t>单位主要职责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bookmarkStart w:id="1" w:name="FUNCRESP"/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（1）制订全县宣传思想工作规划和措施，指导全县贯彻执行宣传文化系统有关政策和法规。归口管理县文旅广体局、县融媒体中心、县文学艺术界联合会，联系县新华书店，协调全县宣传文化系统各部门各单位之间的关系。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（2）负责指导全县理论研究、理论学习、理论宣传工作；负责哲学社会科学规划课题的评审和管理。</w:t>
      </w:r>
    </w:p>
    <w:p>
      <w:pPr>
        <w:spacing w:line="570" w:lineRule="atLeast"/>
        <w:ind w:firstLine="616" w:firstLineChars="200"/>
        <w:rPr>
          <w:rFonts w:ascii="仿宋_GB2312" w:hAnsi="仿宋_GB2312" w:cs="仿宋_GB2312"/>
          <w:color w:val="000000"/>
          <w:spacing w:val="-6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  <w:shd w:val="clear" w:color="auto" w:fill="FFFFFF"/>
        </w:rPr>
        <w:t>（3）负责引导社会舆论，指导、协调全县各新闻单位的工作。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（4）负责指导、协调全县文化艺术特别是精神产品的生产。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（5）负责规划、部署全局性的思想政治工作任务；组织、协调全县各级党员干部主要是科级以上干部的理论学习、教育和考试；配合县委组织部、县纪检会做好党员教育工作。会同有关部门研究和改进思想政治教育工作。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（6）负责全县对外、对港澳宣传工作的协调和管理；协同有关部门开展涉台问题的对外宣传工作；指导和协调全县对外文化交流工作。</w:t>
      </w:r>
    </w:p>
    <w:p>
      <w:pPr>
        <w:spacing w:line="57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（7）归口管理、统筹协调全县互联网上的新闻宣传工作。</w:t>
      </w:r>
      <w:bookmarkEnd w:id="1"/>
    </w:p>
    <w:p>
      <w:pPr>
        <w:snapToGrid w:val="0"/>
        <w:spacing w:line="520" w:lineRule="exac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>
      <w:pPr>
        <w:pStyle w:val="6"/>
        <w:widowControl/>
        <w:spacing w:line="600" w:lineRule="exact"/>
        <w:ind w:left="640" w:firstLine="0" w:firstLineChars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</w:t>
      </w:r>
      <w:r>
        <w:rPr>
          <w:rFonts w:hint="eastAsia" w:eastAsia="楷体_GB2312"/>
          <w:sz w:val="32"/>
          <w:szCs w:val="32"/>
        </w:rPr>
        <w:t>部门</w:t>
      </w:r>
      <w:r>
        <w:rPr>
          <w:rFonts w:eastAsia="楷体_GB2312"/>
          <w:sz w:val="32"/>
          <w:szCs w:val="32"/>
        </w:rPr>
        <w:t>预决算情况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1.部门预算情况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2023年年初预算安排收入</w:t>
      </w:r>
      <w:r>
        <w:rPr>
          <w:rFonts w:hint="eastAsia"/>
          <w:sz w:val="32"/>
          <w:szCs w:val="32"/>
        </w:rPr>
        <w:t>305.57</w:t>
      </w:r>
      <w:r>
        <w:rPr>
          <w:sz w:val="32"/>
          <w:szCs w:val="32"/>
        </w:rPr>
        <w:t>万元，其中一般公共财政拨款</w:t>
      </w:r>
      <w:r>
        <w:rPr>
          <w:rFonts w:hint="eastAsia"/>
          <w:sz w:val="32"/>
          <w:szCs w:val="32"/>
        </w:rPr>
        <w:t>305.57</w:t>
      </w:r>
      <w:r>
        <w:rPr>
          <w:sz w:val="32"/>
          <w:szCs w:val="32"/>
        </w:rPr>
        <w:t>万元；2023年年初预算安排支出</w:t>
      </w:r>
      <w:r>
        <w:rPr>
          <w:rFonts w:hint="eastAsia"/>
          <w:sz w:val="32"/>
          <w:szCs w:val="32"/>
        </w:rPr>
        <w:t>305.57</w:t>
      </w:r>
      <w:r>
        <w:rPr>
          <w:sz w:val="32"/>
          <w:szCs w:val="32"/>
        </w:rPr>
        <w:t>万元，其中：基本支出</w:t>
      </w:r>
      <w:r>
        <w:rPr>
          <w:rFonts w:hint="eastAsia"/>
          <w:sz w:val="32"/>
          <w:szCs w:val="32"/>
        </w:rPr>
        <w:t>163.47</w:t>
      </w:r>
      <w:r>
        <w:rPr>
          <w:sz w:val="32"/>
          <w:szCs w:val="32"/>
        </w:rPr>
        <w:t>万元，项目支出</w:t>
      </w:r>
      <w:r>
        <w:rPr>
          <w:rFonts w:hint="eastAsia"/>
          <w:sz w:val="32"/>
          <w:szCs w:val="32"/>
        </w:rPr>
        <w:t>142.2</w:t>
      </w:r>
      <w:r>
        <w:rPr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2.部门决算情况（含年中预算追加情况）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2023年决算总收入</w:t>
      </w:r>
      <w:r>
        <w:rPr>
          <w:rFonts w:hint="eastAsia"/>
          <w:sz w:val="32"/>
          <w:szCs w:val="32"/>
        </w:rPr>
        <w:t>1449.24</w:t>
      </w:r>
      <w:r>
        <w:rPr>
          <w:sz w:val="32"/>
          <w:szCs w:val="32"/>
        </w:rPr>
        <w:t>万元，较预算增加</w:t>
      </w:r>
      <w:r>
        <w:rPr>
          <w:rFonts w:hint="eastAsia"/>
          <w:sz w:val="32"/>
          <w:szCs w:val="32"/>
        </w:rPr>
        <w:t>1143.67</w:t>
      </w:r>
      <w:r>
        <w:rPr>
          <w:sz w:val="32"/>
          <w:szCs w:val="32"/>
        </w:rPr>
        <w:t>万元，总支出</w:t>
      </w:r>
      <w:r>
        <w:rPr>
          <w:rFonts w:hint="eastAsia"/>
          <w:sz w:val="32"/>
          <w:szCs w:val="32"/>
        </w:rPr>
        <w:t>1449.24</w:t>
      </w:r>
      <w:r>
        <w:rPr>
          <w:sz w:val="32"/>
          <w:szCs w:val="32"/>
        </w:rPr>
        <w:t>万元，其中：基本支出</w:t>
      </w:r>
      <w:r>
        <w:rPr>
          <w:rFonts w:hint="eastAsia"/>
          <w:sz w:val="32"/>
          <w:szCs w:val="32"/>
        </w:rPr>
        <w:t>1307.04</w:t>
      </w:r>
      <w:r>
        <w:rPr>
          <w:sz w:val="32"/>
          <w:szCs w:val="32"/>
        </w:rPr>
        <w:t>万元，占总支出的</w:t>
      </w:r>
      <w:r>
        <w:rPr>
          <w:rFonts w:hint="eastAsia"/>
          <w:sz w:val="32"/>
          <w:szCs w:val="32"/>
        </w:rPr>
        <w:t>90</w:t>
      </w:r>
      <w:r>
        <w:rPr>
          <w:sz w:val="32"/>
          <w:szCs w:val="32"/>
        </w:rPr>
        <w:t>％；项目支出</w:t>
      </w:r>
      <w:r>
        <w:rPr>
          <w:rFonts w:hint="eastAsia"/>
          <w:sz w:val="32"/>
          <w:szCs w:val="32"/>
        </w:rPr>
        <w:t>142.2</w:t>
      </w:r>
      <w:r>
        <w:rPr>
          <w:sz w:val="32"/>
          <w:szCs w:val="32"/>
        </w:rPr>
        <w:t>万元，占总支出的</w:t>
      </w:r>
      <w:r>
        <w:rPr>
          <w:rFonts w:hint="eastAsia"/>
          <w:sz w:val="32"/>
          <w:szCs w:val="32"/>
        </w:rPr>
        <w:t>10</w:t>
      </w:r>
      <w:r>
        <w:rPr>
          <w:sz w:val="32"/>
          <w:szCs w:val="32"/>
        </w:rPr>
        <w:t>％。差异产生的主要原因是</w:t>
      </w:r>
      <w:r>
        <w:rPr>
          <w:rFonts w:hint="eastAsia"/>
          <w:sz w:val="32"/>
          <w:szCs w:val="32"/>
        </w:rPr>
        <w:t>增加旅游文化，山歌节等宣传经遇、费</w:t>
      </w:r>
      <w:r>
        <w:rPr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（二）部门预算执行情况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.“三公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经费执行情况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2023年“三公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经费预算数</w:t>
      </w:r>
      <w:r>
        <w:rPr>
          <w:rFonts w:hint="eastAsia"/>
          <w:sz w:val="32"/>
          <w:szCs w:val="32"/>
        </w:rPr>
        <w:t>9.4</w:t>
      </w:r>
      <w:r>
        <w:rPr>
          <w:sz w:val="32"/>
          <w:szCs w:val="32"/>
        </w:rPr>
        <w:t>万元，其中：因公出国（境）费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万元，公务用车购置及运行维护费</w:t>
      </w:r>
      <w:r>
        <w:rPr>
          <w:rFonts w:hint="eastAsia"/>
          <w:sz w:val="32"/>
          <w:szCs w:val="32"/>
        </w:rPr>
        <w:t>1.6</w:t>
      </w:r>
      <w:r>
        <w:rPr>
          <w:sz w:val="32"/>
          <w:szCs w:val="32"/>
        </w:rPr>
        <w:t>万元，公务接待费</w:t>
      </w:r>
      <w:r>
        <w:rPr>
          <w:rFonts w:hint="eastAsia"/>
          <w:sz w:val="32"/>
          <w:szCs w:val="32"/>
        </w:rPr>
        <w:t>7.8</w:t>
      </w:r>
      <w:r>
        <w:rPr>
          <w:sz w:val="32"/>
          <w:szCs w:val="32"/>
        </w:rPr>
        <w:t>万元。“三公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经费决算数</w:t>
      </w:r>
      <w:r>
        <w:rPr>
          <w:rFonts w:hint="eastAsia"/>
          <w:sz w:val="32"/>
          <w:szCs w:val="32"/>
        </w:rPr>
        <w:t>7.97</w:t>
      </w:r>
      <w:r>
        <w:rPr>
          <w:sz w:val="32"/>
          <w:szCs w:val="32"/>
        </w:rPr>
        <w:t>元，其中：因公出国（境）费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万元，公务用车运行维护费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万元，公务接待费</w:t>
      </w:r>
      <w:r>
        <w:rPr>
          <w:rFonts w:hint="eastAsia"/>
          <w:sz w:val="32"/>
          <w:szCs w:val="32"/>
        </w:rPr>
        <w:t>7.97</w:t>
      </w:r>
      <w:r>
        <w:rPr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.政府采购执行情况</w:t>
      </w:r>
    </w:p>
    <w:p>
      <w:pPr>
        <w:spacing w:line="600" w:lineRule="exact"/>
        <w:ind w:firstLine="640" w:firstLineChars="20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sz w:val="32"/>
          <w:szCs w:val="32"/>
        </w:rPr>
        <w:t>2023年度政府采购支出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万元，其中：货物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元，工程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万元，服务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万元。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政府性基金预算支出情况</w:t>
      </w:r>
    </w:p>
    <w:p>
      <w:pPr>
        <w:pStyle w:val="6"/>
        <w:widowControl/>
        <w:spacing w:line="560" w:lineRule="exact"/>
        <w:ind w:firstLine="640"/>
        <w:jc w:val="lef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/>
          <w:kern w:val="0"/>
          <w:sz w:val="32"/>
          <w:szCs w:val="32"/>
        </w:rPr>
        <w:t>无。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国有资本经营预算支出情况</w:t>
      </w:r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</w:rPr>
        <w:t>无。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社会保险基金预算支出情况</w:t>
      </w:r>
    </w:p>
    <w:p>
      <w:pPr>
        <w:pStyle w:val="6"/>
        <w:widowControl/>
        <w:spacing w:line="560" w:lineRule="exact"/>
        <w:ind w:firstLine="640"/>
        <w:jc w:val="lef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/>
          <w:kern w:val="0"/>
          <w:sz w:val="32"/>
          <w:szCs w:val="32"/>
        </w:rPr>
        <w:t>无。</w:t>
      </w:r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六、部门整体支出绩效情况</w:t>
      </w:r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（一）综合评价结论。</w:t>
      </w:r>
      <w:r>
        <w:rPr>
          <w:rFonts w:ascii="仿宋_GB2312" w:cs="仿宋_GB2312"/>
          <w:color w:val="000000"/>
          <w:sz w:val="32"/>
          <w:szCs w:val="32"/>
          <w:shd w:val="clear" w:color="auto" w:fill="FFFFFF"/>
        </w:rPr>
        <w:t>反映自评得分及评价等级。</w:t>
      </w:r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（二）评价指标分析（或综合评价情况）。</w:t>
      </w:r>
      <w:r>
        <w:rPr>
          <w:rFonts w:ascii="仿宋_GB2312" w:cs="仿宋_GB2312"/>
          <w:color w:val="000000"/>
          <w:sz w:val="32"/>
          <w:szCs w:val="32"/>
          <w:shd w:val="clear" w:color="auto" w:fill="FFFFFF"/>
        </w:rPr>
        <w:t>围绕部门职责、行业发展规划，以预算资金管理为主线，从整体绩效目标设定、预算配置、预算执行、预算管理、资产管理、职责履行、履职效益等方面综合分析。</w:t>
      </w:r>
      <w:r>
        <w:rPr>
          <w:rFonts w:eastAsia="楷体_GB2312"/>
          <w:color w:val="000000"/>
          <w:sz w:val="32"/>
          <w:szCs w:val="32"/>
          <w:shd w:val="clear" w:color="auto" w:fill="FFFFFF"/>
        </w:rPr>
        <w:t>总</w:t>
      </w:r>
      <w:r>
        <w:rPr>
          <w:rFonts w:ascii="仿宋_GB2312" w:cs="仿宋_GB2312"/>
          <w:color w:val="000000"/>
          <w:sz w:val="32"/>
          <w:szCs w:val="32"/>
          <w:shd w:val="clear" w:color="auto" w:fill="FFFFFF"/>
        </w:rPr>
        <w:t>结归纳本部门"四本预算"支出的绩效目标完成情况，实现产出和取得效益的情况。</w:t>
      </w:r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七、存在的问题及原因分析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eastAsia="宋体"/>
          <w:color w:val="000000"/>
          <w:sz w:val="32"/>
          <w:szCs w:val="32"/>
          <w:shd w:val="clear" w:color="auto" w:fill="FFFFFF"/>
        </w:rPr>
        <w:t>1.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预算编制工作有待细化。预算编制不够明确和细化，预算编制的合理性需要提高，预算执行力度还要进一步加强。</w:t>
      </w:r>
    </w:p>
    <w:p>
      <w:pPr>
        <w:widowControl/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财务监督管理有待进一步加强。我部财务管理的科学化、制度化、规范化总体执行较好，但仍不够理想，有待进一步提高。</w:t>
      </w:r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八、下一步改进措施</w:t>
      </w:r>
    </w:p>
    <w:p>
      <w:pPr>
        <w:pStyle w:val="3"/>
        <w:widowControl/>
        <w:shd w:val="clear" w:color="auto" w:fill="FFFFFF"/>
        <w:spacing w:beforeAutospacing="0" w:afterAutospacing="0" w:line="550" w:lineRule="atLeast"/>
        <w:ind w:firstLine="645"/>
        <w:rPr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.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.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pStyle w:val="3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九、其他需要说明的情况</w:t>
      </w:r>
    </w:p>
    <w:p>
      <w:pPr>
        <w:pStyle w:val="6"/>
        <w:widowControl/>
        <w:spacing w:line="560" w:lineRule="exact"/>
        <w:ind w:firstLine="640"/>
        <w:jc w:val="lef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/>
          <w:kern w:val="0"/>
          <w:sz w:val="32"/>
          <w:szCs w:val="32"/>
        </w:rPr>
        <w:t>无。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exact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</w:p>
    <w:p>
      <w:pPr>
        <w:jc w:val="left"/>
        <w:rPr>
          <w:rFonts w:ascii="仿宋" w:hAnsi="仿宋" w:eastAsia="仿宋" w:cs="仿宋"/>
          <w:b/>
          <w:bCs/>
          <w:sz w:val="30"/>
          <w:szCs w:val="30"/>
        </w:rPr>
      </w:pPr>
    </w:p>
    <w:sectPr>
      <w:pgSz w:w="11906" w:h="16838"/>
      <w:pgMar w:top="1440" w:right="1134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Y2JiYjJmMTE5NGU2NDlmZDA3NWRlYmFhNzEwY2UifQ=="/>
    <w:docVar w:name="KSO_WPS_MARK_KEY" w:val="2cad2da4-8c74-4208-b950-09c4ddb6f378"/>
  </w:docVars>
  <w:rsids>
    <w:rsidRoot w:val="00655A3A"/>
    <w:rsid w:val="00655A3A"/>
    <w:rsid w:val="006A0849"/>
    <w:rsid w:val="006F375B"/>
    <w:rsid w:val="007B1ADB"/>
    <w:rsid w:val="0427580E"/>
    <w:rsid w:val="1EA33F65"/>
    <w:rsid w:val="2059439F"/>
    <w:rsid w:val="269E5DD8"/>
    <w:rsid w:val="27416581"/>
    <w:rsid w:val="48FA17B8"/>
    <w:rsid w:val="4B72396B"/>
    <w:rsid w:val="7A4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1536</Words>
  <Characters>1637</Characters>
  <Lines>12</Lines>
  <Paragraphs>3</Paragraphs>
  <TotalTime>8</TotalTime>
  <ScaleCrop>false</ScaleCrop>
  <LinksUpToDate>false</LinksUpToDate>
  <CharactersWithSpaces>1641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2024-06-04T01:14:00Z</dcterms:created>
  <dc:creator>Administrator</dc:creator>
  <cp:lastModifiedBy>小米</cp:lastModifiedBy>
  <dcterms:modified xsi:type="dcterms:W3CDTF">2024-06-04T06:34:35Z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D1BA0F076F3F45F5A4EC113A94463AE6_12</vt:lpwstr>
  </property>
</Properties>
</file>