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pStyle w:val="2"/>
        <w:bidi w:val="0"/>
        <w:rPr>
          <w:rFonts w:hint="default"/>
          <w:lang w:eastAsia="zh-CN"/>
        </w:rPr>
      </w:pPr>
      <w:r>
        <w:rPr>
          <w:rFonts w:hint="default"/>
        </w:rPr>
        <w:t>202</w:t>
      </w:r>
      <w:r>
        <w:rPr>
          <w:rFonts w:hint="default"/>
          <w:lang w:val="en-US" w:eastAsia="zh-CN"/>
        </w:rPr>
        <w:t>3</w:t>
      </w:r>
      <w:r>
        <w:rPr>
          <w:rFonts w:hint="default"/>
        </w:rPr>
        <w:t>年度</w:t>
      </w:r>
      <w:r>
        <w:rPr>
          <w:rFonts w:hint="default"/>
          <w:lang w:eastAsia="zh-CN"/>
        </w:rPr>
        <w:t>城步苗族自治县公路建设养护中心</w:t>
      </w:r>
    </w:p>
    <w:p>
      <w:pPr>
        <w:pStyle w:val="2"/>
        <w:bidi w:val="0"/>
        <w:ind w:firstLine="1325" w:firstLineChars="300"/>
        <w:rPr>
          <w:rFonts w:hint="default"/>
        </w:rPr>
      </w:pPr>
      <w:r>
        <w:rPr>
          <w:rFonts w:hint="default"/>
        </w:rPr>
        <w:t>整体支出绩效自评报告</w:t>
      </w:r>
    </w:p>
    <w:p>
      <w:pPr>
        <w:jc w:val="center"/>
        <w:rPr>
          <w:rFonts w:ascii="Times New Roman" w:hAnsi="Times New Roman" w:eastAsia="方正小标宋_GBK" w:cs="Times New Roman"/>
          <w:sz w:val="52"/>
          <w:szCs w:val="52"/>
        </w:rPr>
      </w:pP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1800" w:firstLineChars="600"/>
        <w:jc w:val="both"/>
        <w:rPr>
          <w:rFonts w:hint="eastAsia" w:asciiTheme="majorEastAsia" w:hAnsiTheme="majorEastAsia" w:eastAsiaTheme="majorEastAsia" w:cstheme="majorEastAsia"/>
          <w:sz w:val="30"/>
          <w:szCs w:val="30"/>
          <w:u w:val="single"/>
          <w:lang w:val="en-US" w:eastAsia="zh-CN"/>
        </w:rPr>
      </w:pPr>
      <w:r>
        <w:rPr>
          <w:rFonts w:hint="eastAsia" w:asciiTheme="majorEastAsia" w:hAnsiTheme="majorEastAsia" w:eastAsiaTheme="majorEastAsia" w:cstheme="majorEastAsia"/>
          <w:sz w:val="30"/>
          <w:szCs w:val="30"/>
        </w:rPr>
        <w:t>单位名称：</w:t>
      </w:r>
      <w:r>
        <w:rPr>
          <w:rFonts w:hint="eastAsia" w:asciiTheme="majorEastAsia" w:hAnsiTheme="majorEastAsia" w:eastAsiaTheme="majorEastAsia" w:cstheme="majorEastAsia"/>
          <w:sz w:val="30"/>
          <w:szCs w:val="30"/>
          <w:lang w:eastAsia="zh-CN"/>
        </w:rPr>
        <w:t>城步苗族自治县公路建设养护中心</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2024</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p/>
    <w:p/>
    <w:p/>
    <w:p/>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仿宋" w:hAnsi="仿宋" w:eastAsia="仿宋" w:cs="仿宋"/>
          <w:i w:val="0"/>
          <w:iCs w:val="0"/>
          <w:caps w:val="0"/>
          <w:color w:val="000000"/>
          <w:spacing w:val="0"/>
          <w:sz w:val="44"/>
          <w:szCs w:val="44"/>
        </w:rPr>
      </w:pPr>
      <w:r>
        <w:rPr>
          <w:rFonts w:hint="eastAsia" w:ascii="仿宋" w:hAnsi="仿宋" w:eastAsia="仿宋" w:cs="仿宋"/>
          <w:i w:val="0"/>
          <w:iCs w:val="0"/>
          <w:caps w:val="0"/>
          <w:color w:val="000000"/>
          <w:spacing w:val="0"/>
          <w:sz w:val="44"/>
          <w:szCs w:val="44"/>
          <w:shd w:val="clear" w:fill="FFFFFF"/>
        </w:rPr>
        <w:t>202</w:t>
      </w:r>
      <w:r>
        <w:rPr>
          <w:rFonts w:hint="eastAsia" w:ascii="仿宋" w:hAnsi="仿宋" w:eastAsia="仿宋" w:cs="仿宋"/>
          <w:i w:val="0"/>
          <w:iCs w:val="0"/>
          <w:caps w:val="0"/>
          <w:color w:val="000000"/>
          <w:spacing w:val="0"/>
          <w:sz w:val="44"/>
          <w:szCs w:val="44"/>
          <w:shd w:val="clear" w:fill="FFFFFF"/>
          <w:lang w:val="en-US" w:eastAsia="zh-CN"/>
        </w:rPr>
        <w:t>3</w:t>
      </w:r>
      <w:r>
        <w:rPr>
          <w:rFonts w:hint="eastAsia" w:ascii="仿宋" w:hAnsi="仿宋" w:eastAsia="仿宋" w:cs="仿宋"/>
          <w:i w:val="0"/>
          <w:iCs w:val="0"/>
          <w:caps w:val="0"/>
          <w:color w:val="000000"/>
          <w:spacing w:val="0"/>
          <w:sz w:val="44"/>
          <w:szCs w:val="44"/>
          <w:shd w:val="clear" w:fill="FFFFFF"/>
        </w:rPr>
        <w:t>年度</w:t>
      </w:r>
      <w:r>
        <w:rPr>
          <w:rFonts w:hint="eastAsia" w:ascii="仿宋" w:hAnsi="仿宋" w:eastAsia="仿宋" w:cs="仿宋"/>
          <w:b/>
          <w:bCs/>
          <w:sz w:val="44"/>
          <w:szCs w:val="44"/>
          <w:lang w:eastAsia="zh-CN"/>
        </w:rPr>
        <w:t>公路建设养护中心</w:t>
      </w:r>
      <w:r>
        <w:rPr>
          <w:rFonts w:hint="eastAsia" w:ascii="仿宋" w:hAnsi="仿宋" w:eastAsia="仿宋" w:cs="仿宋"/>
          <w:i w:val="0"/>
          <w:iCs w:val="0"/>
          <w:caps w:val="0"/>
          <w:color w:val="000000"/>
          <w:spacing w:val="0"/>
          <w:sz w:val="44"/>
          <w:szCs w:val="44"/>
          <w:shd w:val="clear" w:fill="FFFFFF"/>
        </w:rPr>
        <w:t>整体支出绩效自评报告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spacing w:line="560" w:lineRule="exact"/>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sz w:val="32"/>
          <w:szCs w:val="32"/>
        </w:rPr>
        <w:t>我中心是正科级财政全额拨款公益一类事业单位。内设十个机构：办公室、人力资源股、计划统计事务股、</w:t>
      </w:r>
      <w:bookmarkStart w:id="0" w:name="OLE_LINK5"/>
      <w:bookmarkStart w:id="1" w:name="OLE_LINK4"/>
      <w:r>
        <w:rPr>
          <w:rFonts w:hint="eastAsia" w:ascii="仿宋" w:hAnsi="仿宋" w:eastAsia="仿宋" w:cs="仿宋"/>
          <w:sz w:val="32"/>
          <w:szCs w:val="32"/>
        </w:rPr>
        <w:t>干线公路养护股、</w:t>
      </w:r>
      <w:bookmarkEnd w:id="0"/>
      <w:bookmarkEnd w:id="1"/>
      <w:r>
        <w:rPr>
          <w:rFonts w:hint="eastAsia" w:ascii="仿宋" w:hAnsi="仿宋" w:eastAsia="仿宋" w:cs="仿宋"/>
          <w:sz w:val="32"/>
          <w:szCs w:val="32"/>
        </w:rPr>
        <w:t>农村公路养护股、工程建设股、安全应急股、法务信息服务股、财务股、路产事务股。</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单位编制数为</w:t>
      </w:r>
      <w:r>
        <w:rPr>
          <w:rFonts w:hint="eastAsia" w:ascii="仿宋" w:hAnsi="仿宋" w:eastAsia="仿宋" w:cs="仿宋"/>
          <w:sz w:val="32"/>
          <w:szCs w:val="32"/>
          <w:lang w:val="en-US" w:eastAsia="zh-CN"/>
        </w:rPr>
        <w:t>88</w:t>
      </w:r>
      <w:r>
        <w:rPr>
          <w:rFonts w:hint="eastAsia" w:ascii="仿宋" w:hAnsi="仿宋" w:eastAsia="仿宋" w:cs="仿宋"/>
          <w:sz w:val="32"/>
          <w:szCs w:val="32"/>
        </w:rPr>
        <w:t>人，现有在职职工</w:t>
      </w:r>
      <w:r>
        <w:rPr>
          <w:rFonts w:hint="eastAsia" w:ascii="仿宋" w:hAnsi="仿宋" w:eastAsia="仿宋" w:cs="仿宋"/>
          <w:sz w:val="32"/>
          <w:szCs w:val="32"/>
          <w:lang w:val="en-US" w:eastAsia="zh-CN"/>
        </w:rPr>
        <w:t>82</w:t>
      </w:r>
      <w:r>
        <w:rPr>
          <w:rFonts w:hint="eastAsia" w:ascii="仿宋" w:hAnsi="仿宋" w:eastAsia="仿宋" w:cs="仿宋"/>
          <w:sz w:val="32"/>
          <w:szCs w:val="32"/>
        </w:rPr>
        <w:t>人。</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宣传、贯彻、执行国家、省、市、县关于国、省、县道公路建设、养护的方针政策、法律法规和技术标准规范;指导乡镇人民政府贯彻执行农村公路建设、养护的方针政策、法律法规和技术标准规范；参与拟订全县公路建设、养护政策和技术要求，操作规程。</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（2）参与拟订全县国、省、县道公路和农村公路路网发展规划和年度建设计划；承担新建、提质改造公路工程建设项目实施过程中的相关事务性工作；协同推进公路路网规划和年度建设计划的实施。</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承担全县公路养护工程项目计划的编制和报审，并负责组织实施；负责公路养护统计报表编制上报工作；承担全县国、省、县道公路及附属设施的日常养护、预防性养护和安全运行工作；承担全县农村公路建设、养护和管理有关事务性、技术性工作。</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（4）承担国、省、县道公路建设养护的安全生产监督、应急处置事务性工作；指导乡镇人民政府做好乡、村道的应急处置工作。</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（5）负责全县公路基础数据库管理，推进“智慧公路”建设（公路信息化建设）；承担国、省、县道公路路况监测相关事务性工作；指导乡镇人民政府开展农村公路路况监测工作。</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（6）负责县内国、省、县道公路养护建设项目和养护资金的管理；指导乡镇人民政府对乡道、村道建设养护资金的合理使用。</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sz w:val="32"/>
          <w:szCs w:val="32"/>
        </w:rPr>
        <w:t>（7）承办县委、县政府和县交通运输局交办的其他工作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1.概述项目绩效目标完成情况。</w:t>
      </w:r>
    </w:p>
    <w:p>
      <w:pPr>
        <w:widowControl/>
        <w:ind w:firstLine="640" w:firstLineChars="200"/>
        <w:rPr>
          <w:rFonts w:hint="eastAsia" w:ascii="仿宋_GB2312" w:hAnsi="仿宋" w:eastAsia="仿宋_GB2312"/>
          <w:sz w:val="32"/>
          <w:szCs w:val="32"/>
        </w:rPr>
      </w:pPr>
      <w:r>
        <w:rPr>
          <w:rFonts w:hint="eastAsia" w:ascii="仿宋_GB2312" w:hAnsi="仿宋" w:eastAsia="仿宋_GB2312"/>
          <w:sz w:val="32"/>
          <w:szCs w:val="32"/>
        </w:rPr>
        <w:t>目标1（党委政府下达的绩效考核个性指标任务）：公路养护实现管养公路年末优良率96%，完成省市计划的灾害防治和安保工程任务。按完成比例计分。（60分）；公路工程完成省、市下达的大中修改造任务；完成县下达的其它工程任务；工程质量合格率100%；确保优良率95%以上，按完成比例计分。（60分）；公路损坏赔偿、罚没案件查处率、结案率分别达95%、98%以上，按完成比例计分。（60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目标3（本部门发展规划）：科学谋事干事，完成和超额完成年初制定的各项目标任务，全面优化路境，提升群众满意度，保持经济平稳发展，路况逐步提升，人心稳定。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6"/>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2023年年初预算安排收入</w:t>
      </w:r>
      <w:r>
        <w:rPr>
          <w:rFonts w:hint="eastAsia" w:cs="Times New Roman"/>
          <w:sz w:val="32"/>
          <w:szCs w:val="32"/>
          <w:lang w:val="en-US" w:eastAsia="zh-CN"/>
        </w:rPr>
        <w:t>869.58</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869.58</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2023年年初预算安排支出</w:t>
      </w:r>
      <w:r>
        <w:rPr>
          <w:rFonts w:hint="eastAsia" w:cs="Times New Roman"/>
          <w:sz w:val="32"/>
          <w:szCs w:val="32"/>
          <w:lang w:val="en-US" w:eastAsia="zh-CN"/>
        </w:rPr>
        <w:t>869.58</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853.38</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16.2</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keepNext w:val="0"/>
        <w:keepLines w:val="0"/>
        <w:pageBreakBefore w:val="0"/>
        <w:kinsoku/>
        <w:wordWrap/>
        <w:overflowPunct/>
        <w:topLinePunct w:val="0"/>
        <w:autoSpaceDE/>
        <w:autoSpaceDN/>
        <w:bidi w:val="0"/>
        <w:adjustRightInd/>
        <w:snapToGrid/>
        <w:spacing w:beforeAutospacing="0" w:line="360" w:lineRule="auto"/>
        <w:ind w:firstLine="640" w:firstLineChars="200"/>
        <w:jc w:val="left"/>
        <w:textAlignment w:val="auto"/>
        <w:rPr>
          <w:rFonts w:hint="eastAsia" w:ascii="仿宋_GB2312" w:hAnsi="仿宋" w:eastAsia="仿宋_GB2312"/>
          <w:b w:val="0"/>
          <w:bCs w:val="0"/>
          <w:sz w:val="32"/>
          <w:szCs w:val="32"/>
          <w:lang w:val="en-US" w:eastAsia="zh-CN"/>
        </w:rPr>
      </w:pPr>
      <w:r>
        <w:rPr>
          <w:rFonts w:hint="default" w:ascii="Times New Roman" w:hAnsi="Times New Roman" w:eastAsia="仿宋_GB2312" w:cs="Times New Roman"/>
          <w:sz w:val="32"/>
          <w:szCs w:val="32"/>
          <w:lang w:eastAsia="zh-CN"/>
        </w:rPr>
        <w:t>2023年决算总收入</w:t>
      </w:r>
      <w:r>
        <w:rPr>
          <w:rFonts w:hint="eastAsia" w:ascii="仿宋_GB2312" w:hAnsi="仿宋" w:eastAsia="仿宋_GB2312"/>
          <w:sz w:val="32"/>
          <w:szCs w:val="32"/>
          <w:lang w:val="en-US" w:eastAsia="zh-CN"/>
        </w:rPr>
        <w:t>4700.9</w:t>
      </w:r>
      <w:r>
        <w:rPr>
          <w:rFonts w:hint="default" w:ascii="Times New Roman" w:hAnsi="Times New Roman" w:eastAsia="仿宋_GB2312" w:cs="Times New Roman"/>
          <w:sz w:val="32"/>
          <w:szCs w:val="32"/>
          <w:lang w:eastAsia="zh-CN"/>
        </w:rPr>
        <w:t>万元，较预算增加</w:t>
      </w:r>
      <w:r>
        <w:rPr>
          <w:rFonts w:hint="eastAsia" w:ascii="仿宋_GB2312" w:hAnsi="仿宋"/>
          <w:b/>
          <w:bCs/>
          <w:sz w:val="32"/>
          <w:szCs w:val="32"/>
          <w:lang w:val="en-US" w:eastAsia="zh-CN"/>
        </w:rPr>
        <w:t>3831.32</w:t>
      </w:r>
      <w:r>
        <w:rPr>
          <w:rFonts w:hint="default" w:ascii="Times New Roman" w:hAnsi="Times New Roman" w:eastAsia="仿宋_GB2312" w:cs="Times New Roman"/>
          <w:sz w:val="32"/>
          <w:szCs w:val="32"/>
          <w:lang w:eastAsia="zh-CN"/>
        </w:rPr>
        <w:t>万元，总支出</w:t>
      </w:r>
      <w:r>
        <w:rPr>
          <w:rFonts w:hint="eastAsia" w:ascii="仿宋_GB2312" w:hAnsi="仿宋" w:eastAsia="仿宋_GB2312"/>
          <w:sz w:val="32"/>
          <w:szCs w:val="32"/>
          <w:lang w:val="en-US" w:eastAsia="zh-CN"/>
        </w:rPr>
        <w:t>4748.52</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2217.76</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46.71</w:t>
      </w:r>
      <w:r>
        <w:rPr>
          <w:rFonts w:hint="default" w:ascii="Times New Roman" w:hAnsi="Times New Roman" w:eastAsia="仿宋_GB2312" w:cs="Times New Roman"/>
          <w:sz w:val="32"/>
          <w:szCs w:val="32"/>
          <w:lang w:eastAsia="zh-CN"/>
        </w:rPr>
        <w:t>％；项目支出</w:t>
      </w:r>
      <w:r>
        <w:rPr>
          <w:rFonts w:hint="eastAsia" w:ascii="仿宋_GB2312" w:hAnsi="仿宋" w:eastAsia="仿宋_GB2312"/>
          <w:sz w:val="32"/>
          <w:szCs w:val="32"/>
          <w:lang w:val="en-US" w:eastAsia="zh-CN"/>
        </w:rPr>
        <w:t>2530.76</w:t>
      </w:r>
      <w:r>
        <w:rPr>
          <w:rFonts w:hint="default" w:ascii="Times New Roman" w:hAnsi="Times New Roman" w:eastAsia="仿宋_GB2312" w:cs="Times New Roman"/>
          <w:sz w:val="32"/>
          <w:szCs w:val="32"/>
          <w:lang w:eastAsia="zh-CN"/>
        </w:rPr>
        <w:t>万元，占总支出的</w:t>
      </w:r>
      <w:r>
        <w:rPr>
          <w:rFonts w:hint="eastAsia" w:ascii="仿宋_GB2312" w:hAnsi="仿宋" w:eastAsia="仿宋_GB2312"/>
          <w:sz w:val="32"/>
          <w:szCs w:val="32"/>
          <w:lang w:val="en-US" w:eastAsia="zh-CN"/>
        </w:rPr>
        <w:t>53.29</w:t>
      </w:r>
      <w:r>
        <w:rPr>
          <w:rFonts w:hint="default" w:ascii="Times New Roman" w:hAnsi="Times New Roman" w:eastAsia="仿宋_GB2312" w:cs="Times New Roman"/>
          <w:sz w:val="32"/>
          <w:szCs w:val="32"/>
          <w:lang w:eastAsia="zh-CN"/>
        </w:rPr>
        <w:t>％。差异产生的主要原因是</w:t>
      </w:r>
      <w:r>
        <w:rPr>
          <w:rFonts w:hint="eastAsia" w:ascii="仿宋_GB2312" w:hAnsi="仿宋" w:eastAsia="仿宋_GB2312"/>
          <w:sz w:val="32"/>
          <w:szCs w:val="32"/>
        </w:rPr>
        <w:t>：</w:t>
      </w:r>
      <w:r>
        <w:rPr>
          <w:rFonts w:hint="eastAsia" w:ascii="仿宋_GB2312" w:hAnsi="仿宋" w:eastAsia="仿宋_GB2312"/>
          <w:sz w:val="32"/>
          <w:szCs w:val="32"/>
          <w:lang w:eastAsia="zh-CN"/>
        </w:rPr>
        <w:t>增加</w:t>
      </w:r>
      <w:r>
        <w:rPr>
          <w:rFonts w:hint="eastAsia" w:ascii="仿宋_GB2312" w:hAnsi="仿宋" w:eastAsia="仿宋_GB2312"/>
          <w:b w:val="0"/>
          <w:bCs w:val="0"/>
          <w:sz w:val="32"/>
          <w:szCs w:val="32"/>
          <w:lang w:val="en-US" w:eastAsia="zh-CN"/>
        </w:rPr>
        <w:t>农村公路养护专项经费。</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19</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17</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2</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ascii="仿宋_GB2312" w:hAnsi="仿宋" w:eastAsia="仿宋_GB2312"/>
          <w:sz w:val="32"/>
          <w:szCs w:val="32"/>
          <w:lang w:val="en-US" w:eastAsia="zh-CN"/>
        </w:rPr>
        <w:t>23.65</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ascii="仿宋_GB2312" w:hAnsi="仿宋" w:eastAsia="仿宋_GB2312"/>
          <w:sz w:val="32"/>
          <w:szCs w:val="32"/>
          <w:lang w:val="en-US" w:eastAsia="zh-CN"/>
        </w:rPr>
        <w:t>22.19</w:t>
      </w:r>
      <w:r>
        <w:rPr>
          <w:rFonts w:hint="default" w:ascii="Times New Roman" w:hAnsi="Times New Roman" w:eastAsia="仿宋_GB2312" w:cs="Times New Roman"/>
          <w:sz w:val="32"/>
          <w:szCs w:val="32"/>
          <w:lang w:eastAsia="zh-CN"/>
        </w:rPr>
        <w:t>万元，公务接待费</w:t>
      </w:r>
      <w:r>
        <w:rPr>
          <w:rFonts w:hint="eastAsia" w:ascii="仿宋_GB2312" w:hAnsi="仿宋" w:eastAsia="仿宋_GB2312"/>
          <w:sz w:val="32"/>
          <w:szCs w:val="32"/>
          <w:lang w:val="en-US" w:eastAsia="zh-CN"/>
        </w:rPr>
        <w:t>1.46</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2023年度政府采购支出</w:t>
      </w:r>
      <w:r>
        <w:rPr>
          <w:rFonts w:hint="eastAsia" w:ascii="仿宋" w:hAnsi="仿宋" w:eastAsia="仿宋" w:cs="仿宋"/>
          <w:b w:val="0"/>
          <w:bCs w:val="0"/>
          <w:kern w:val="0"/>
          <w:sz w:val="32"/>
          <w:szCs w:val="32"/>
          <w:lang w:val="en-US" w:eastAsia="zh-CN"/>
        </w:rPr>
        <w:t>2230.1</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25.35</w:t>
      </w:r>
      <w:r>
        <w:rPr>
          <w:rFonts w:hint="default" w:ascii="Times New Roman" w:hAnsi="Times New Roman" w:eastAsia="仿宋_GB2312" w:cs="Times New Roman"/>
          <w:sz w:val="32"/>
          <w:szCs w:val="32"/>
          <w:lang w:eastAsia="zh-CN"/>
        </w:rPr>
        <w:t>万元，</w:t>
      </w:r>
      <w:bookmarkStart w:id="2" w:name="_GoBack"/>
      <w:bookmarkEnd w:id="2"/>
      <w:r>
        <w:rPr>
          <w:rFonts w:hint="default" w:ascii="Times New Roman" w:hAnsi="Times New Roman" w:eastAsia="仿宋_GB2312" w:cs="Times New Roman"/>
          <w:sz w:val="32"/>
          <w:szCs w:val="32"/>
          <w:lang w:eastAsia="zh-CN"/>
        </w:rPr>
        <w:t>工程</w:t>
      </w:r>
      <w:r>
        <w:rPr>
          <w:rFonts w:hint="eastAsia" w:cs="Times New Roman"/>
          <w:sz w:val="32"/>
          <w:szCs w:val="32"/>
          <w:lang w:val="en-US" w:eastAsia="zh-CN"/>
        </w:rPr>
        <w:t>2075.08</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149.67</w:t>
      </w:r>
      <w:r>
        <w:rPr>
          <w:rFonts w:hint="default" w:ascii="Times New Roman" w:hAnsi="Times New Roman" w:eastAsia="仿宋_GB2312" w:cs="Times New Roman"/>
          <w:sz w:val="32"/>
          <w:szCs w:val="32"/>
          <w:lang w:eastAsia="zh-CN"/>
        </w:rPr>
        <w:t>万元。</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6"/>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widowControl/>
        <w:spacing w:line="5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年初工作目标完成情况</w:t>
      </w:r>
      <w:r>
        <w:rPr>
          <w:rFonts w:hint="eastAsia" w:ascii="仿宋" w:hAnsi="仿宋" w:eastAsia="仿宋" w:cs="仿宋"/>
          <w:sz w:val="32"/>
          <w:szCs w:val="32"/>
          <w:lang w:eastAsia="zh-CN"/>
        </w:rPr>
        <w:t>：</w:t>
      </w:r>
    </w:p>
    <w:p>
      <w:pPr>
        <w:widowControl/>
        <w:ind w:firstLine="645"/>
        <w:rPr>
          <w:rFonts w:hint="eastAsia" w:ascii="仿宋" w:hAnsi="仿宋" w:eastAsia="仿宋" w:cs="仿宋"/>
          <w:sz w:val="32"/>
          <w:szCs w:val="32"/>
        </w:rPr>
      </w:pPr>
      <w:r>
        <w:rPr>
          <w:rFonts w:hint="eastAsia" w:ascii="仿宋" w:hAnsi="仿宋" w:eastAsia="仿宋" w:cs="仿宋"/>
          <w:sz w:val="32"/>
          <w:szCs w:val="32"/>
        </w:rPr>
        <w:t>1、工资、津补贴等其他经费已按政策发放到位。</w:t>
      </w:r>
    </w:p>
    <w:p>
      <w:pPr>
        <w:widowControl/>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2、公路养护、公路工程、公路路产、安全生产、体制改革、交通管理等工作已完成。</w:t>
      </w:r>
    </w:p>
    <w:p>
      <w:pPr>
        <w:widowControl/>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职责履行情况：工作完成率100%，完成及时率100%，质量达标率100%，重点工作办结率100%。</w:t>
      </w:r>
    </w:p>
    <w:p>
      <w:pPr>
        <w:widowControl/>
        <w:spacing w:line="500" w:lineRule="exact"/>
        <w:ind w:firstLine="640" w:firstLineChars="200"/>
        <w:jc w:val="left"/>
        <w:rPr>
          <w:rFonts w:hint="eastAsia" w:ascii="仿宋" w:hAnsi="仿宋" w:eastAsia="仿宋" w:cs="仿宋"/>
          <w:b w:val="0"/>
          <w:bCs/>
          <w:sz w:val="32"/>
          <w:szCs w:val="32"/>
        </w:rPr>
      </w:pPr>
      <w:r>
        <w:rPr>
          <w:rFonts w:hint="eastAsia" w:ascii="仿宋" w:hAnsi="仿宋" w:eastAsia="仿宋" w:cs="仿宋"/>
          <w:sz w:val="32"/>
          <w:szCs w:val="32"/>
        </w:rPr>
        <w:t>履职效益情况</w:t>
      </w:r>
      <w:r>
        <w:rPr>
          <w:rFonts w:hint="eastAsia" w:ascii="仿宋" w:hAnsi="仿宋" w:eastAsia="仿宋" w:cs="仿宋"/>
          <w:sz w:val="32"/>
          <w:szCs w:val="32"/>
          <w:lang w:eastAsia="zh-CN"/>
        </w:rPr>
        <w:t>：</w:t>
      </w:r>
      <w:r>
        <w:rPr>
          <w:rFonts w:hint="eastAsia" w:ascii="仿宋" w:hAnsi="仿宋" w:eastAsia="仿宋" w:cs="仿宋"/>
          <w:b w:val="0"/>
          <w:bCs/>
          <w:sz w:val="32"/>
          <w:szCs w:val="32"/>
        </w:rPr>
        <w:t>经济效益100%，社会效益100%，生态效益100%。</w:t>
      </w:r>
    </w:p>
    <w:p>
      <w:pPr>
        <w:pStyle w:val="2"/>
        <w:shd w:val="clear" w:color="auto" w:fill="FFFFFF"/>
        <w:spacing w:before="0" w:beforeAutospacing="0" w:after="0" w:afterAutospacing="0" w:line="438" w:lineRule="atLeast"/>
        <w:ind w:firstLine="643" w:firstLineChars="200"/>
        <w:rPr>
          <w:rFonts w:hint="eastAsia" w:ascii="黑体" w:hAnsi="黑体" w:eastAsia="黑体" w:cs="黑体"/>
          <w:sz w:val="32"/>
          <w:szCs w:val="32"/>
          <w:lang w:eastAsia="zh-CN"/>
        </w:rPr>
      </w:pPr>
      <w:r>
        <w:rPr>
          <w:rFonts w:hint="eastAsia" w:ascii="黑体" w:hAnsi="黑体" w:eastAsia="黑体" w:cs="黑体"/>
          <w:sz w:val="32"/>
          <w:szCs w:val="32"/>
        </w:rPr>
        <w:t>绩效考核指标工作完成情况</w:t>
      </w:r>
      <w:r>
        <w:rPr>
          <w:rFonts w:hint="eastAsia" w:ascii="黑体" w:hAnsi="黑体" w:eastAsia="黑体" w:cs="黑体"/>
          <w:sz w:val="32"/>
          <w:szCs w:val="32"/>
          <w:lang w:eastAsia="zh-CN"/>
        </w:rPr>
        <w:t>：</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1.概述项目绩效目标完成情况。</w:t>
      </w:r>
    </w:p>
    <w:p>
      <w:pPr>
        <w:widowControl/>
        <w:ind w:firstLine="640" w:firstLineChars="200"/>
        <w:rPr>
          <w:rFonts w:hint="eastAsia" w:ascii="仿宋_GB2312" w:hAnsi="仿宋" w:eastAsia="仿宋_GB2312"/>
          <w:sz w:val="32"/>
          <w:szCs w:val="32"/>
        </w:rPr>
      </w:pPr>
      <w:r>
        <w:rPr>
          <w:rFonts w:hint="eastAsia" w:ascii="仿宋_GB2312" w:hAnsi="仿宋" w:eastAsia="仿宋_GB2312"/>
          <w:sz w:val="32"/>
          <w:szCs w:val="32"/>
        </w:rPr>
        <w:t>目标1（党委政府下达的绩效考核个性指标任务）：公路养护实现管养公路年末优良率96%，完成省市计划的灾害防治和安保工程任务。按完成比例计分。（60分）；公路工程完成省、市下达的大中修改造任务；完成县下达的其它工程任务；工程质量合格率100%；确保优良率95%以上，按完成比例计分。（60分）；公路损坏赔偿、罚没案件查处率、结案率分别达95%、98%以上，按完成比例计分。（60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目标3（本部门发展规划）：科学谋事干事，完成和超额完成年初制定的各项目标任务，全面优化路境，提升群众满意度，保持经济平稳发展，路况逐步提升，人心稳定。</w:t>
      </w:r>
    </w:p>
    <w:p>
      <w:pPr>
        <w:snapToGrid w:val="0"/>
        <w:spacing w:line="520" w:lineRule="exact"/>
        <w:ind w:firstLine="640" w:firstLineChars="200"/>
        <w:rPr>
          <w:rFonts w:hint="eastAsia"/>
        </w:rPr>
      </w:pPr>
      <w:r>
        <w:rPr>
          <w:rFonts w:hint="eastAsia" w:ascii="仿宋_GB2312" w:hAnsi="仿宋" w:eastAsia="仿宋_GB2312"/>
          <w:sz w:val="32"/>
          <w:szCs w:val="32"/>
          <w:lang w:eastAsia="zh-CN"/>
        </w:rPr>
        <w:t>各项目标已完成。</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概述本单位整体支出绩效目标实现情况。</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本单位所有支出实行绩效目标管理。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pPr>
        <w:spacing w:line="500" w:lineRule="exact"/>
        <w:ind w:firstLine="640" w:firstLineChars="200"/>
        <w:rPr>
          <w:rFonts w:ascii="仿宋" w:hAnsi="仿宋" w:eastAsia="仿宋"/>
          <w:kern w:val="0"/>
          <w:sz w:val="32"/>
          <w:szCs w:val="32"/>
        </w:rPr>
      </w:pPr>
      <w:r>
        <w:rPr>
          <w:rFonts w:hint="eastAsia" w:ascii="仿宋" w:hAnsi="仿宋" w:eastAsia="仿宋"/>
          <w:kern w:val="0"/>
          <w:sz w:val="32"/>
          <w:szCs w:val="32"/>
        </w:rPr>
        <w:t>我县境内的干线公路、农村公路点多、面广、线长，因“超期服役”、水毁等因素，部分路段路况较差，公路养护压力大，养护经费紧缺和人员“老龄化”结构、公路建设职能职责需进一步明确等问题需县委、县政府进一步支持和解决。</w:t>
      </w:r>
    </w:p>
    <w:p>
      <w:pPr>
        <w:spacing w:line="500" w:lineRule="exact"/>
        <w:ind w:firstLine="640" w:firstLineChars="200"/>
        <w:rPr>
          <w:rFonts w:ascii="仿宋" w:hAnsi="仿宋" w:eastAsia="仿宋" w:cs="宋体"/>
          <w:bCs/>
          <w:sz w:val="32"/>
          <w:szCs w:val="32"/>
        </w:rPr>
      </w:pPr>
      <w:r>
        <w:rPr>
          <w:rFonts w:hint="eastAsia" w:ascii="仿宋" w:hAnsi="仿宋" w:eastAsia="仿宋" w:cs="宋体"/>
          <w:bCs/>
          <w:sz w:val="32"/>
          <w:szCs w:val="32"/>
        </w:rPr>
        <w:t>我中心绩效考核工作与上级的要求还有差距，在2023年，我们会以更加饱满的热情、更加务实的精神、更加扎实的作风，开创绩效考核工作新局面。一方面要提高思想认识，切实增强落实指标任务的自觉性；另一方面要加大考核力度，对重点考核指标的推进落实情况进行动态跟踪、及时掌握进展情况，不断调整完善推进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八、下一步改进措施</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仿宋" w:hAnsi="仿宋" w:eastAsia="仿宋" w:cs="宋体"/>
          <w:bCs/>
          <w:sz w:val="32"/>
          <w:szCs w:val="32"/>
        </w:rPr>
        <w:t>一是要提高思想认识，切实增强落实指标任务的自觉性；二是要加大考核力度，切实增强落实指标任务的坚定性，加强日常考核，对重点考核指标的推进落实情况进行动态跟踪、及时掌握进展情况以及存在的问题，调整、完善推进措施。</w:t>
      </w:r>
      <w:r>
        <w:rPr>
          <w:rFonts w:hint="eastAsia" w:ascii="宋体" w:hAnsi="宋体" w:eastAsia="仿宋" w:cs="宋体"/>
          <w:bCs/>
          <w:sz w:val="32"/>
          <w:szCs w:val="32"/>
        </w:rPr>
        <w:t>  </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365" w:leftChars="0" w:firstLine="645" w:firstLineChars="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部门整体支出绩效自评结果拟应用和公开情况</w:t>
      </w:r>
    </w:p>
    <w:p>
      <w:pPr>
        <w:adjustRightInd w:val="0"/>
        <w:snapToGrid w:val="0"/>
        <w:spacing w:line="600" w:lineRule="exact"/>
        <w:ind w:firstLine="640" w:firstLineChars="200"/>
        <w:rPr>
          <w:rFonts w:hint="eastAsia" w:ascii="仿宋" w:hAnsi="仿宋" w:eastAsia="仿宋" w:cs="宋体"/>
          <w:bCs/>
          <w:sz w:val="32"/>
          <w:szCs w:val="32"/>
          <w:lang w:eastAsia="zh-CN"/>
        </w:rPr>
      </w:pPr>
      <w:r>
        <w:rPr>
          <w:rFonts w:hint="eastAsia" w:ascii="仿宋" w:hAnsi="仿宋" w:eastAsia="仿宋" w:cs="宋体"/>
          <w:bCs/>
          <w:sz w:val="32"/>
          <w:szCs w:val="32"/>
        </w:rPr>
        <w:t>部门整体支出绩效自评</w:t>
      </w:r>
      <w:r>
        <w:rPr>
          <w:rFonts w:hint="eastAsia" w:ascii="仿宋" w:hAnsi="仿宋" w:eastAsia="仿宋" w:cs="宋体"/>
          <w:bCs/>
          <w:sz w:val="32"/>
          <w:szCs w:val="32"/>
          <w:lang w:eastAsia="zh-CN"/>
        </w:rPr>
        <w:t>在政府门户网站上公示。</w:t>
      </w:r>
    </w:p>
    <w:p>
      <w:pPr>
        <w:adjustRightInd w:val="0"/>
        <w:snapToGrid w:val="0"/>
        <w:spacing w:line="60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1、管理制度健全：单位为加强预算管理，规范财务行为而制定的管理制度健全完整，制定出预算资金管理办法，内部财务管理制度、会计核算制度等；相关管理制定合法、合规、完整；相关管理制度得到有效执行。</w:t>
      </w:r>
    </w:p>
    <w:p>
      <w:pPr>
        <w:adjustRightInd w:val="0"/>
        <w:snapToGrid w:val="0"/>
        <w:spacing w:line="60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2、资金使用和规范性：使用预算资金符合相关的国家财务管理制度规定，全面反映了单位资金的规范运行情况，符合国家财经法规和财务管理制度规定以及有关专项资金管理办法的规定；资金的拨付有完整的审批程序和手续；项目的重大开支经过评估论证；符合部门预算批复的用途；没有存在截留、挤占、挪用、虚列支出等情况。</w:t>
      </w:r>
    </w:p>
    <w:p>
      <w:pPr>
        <w:adjustRightInd w:val="0"/>
        <w:snapToGrid w:val="0"/>
        <w:spacing w:line="60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3、预决算信息公开：按照政府信息公开有关规定按时公开相关预决算信息及财务状况信息，按规定内容、时限公开预决算信息，达到公开透明。</w:t>
      </w:r>
    </w:p>
    <w:p>
      <w:pPr>
        <w:adjustRightInd w:val="0"/>
        <w:snapToGrid w:val="0"/>
        <w:spacing w:line="60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4、基础信息完善：按照政府信息公开有关规定公开相关决算信息，基础数据信息和会计信息资料真实准确，完整。</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hint="eastAsia" w:eastAsia="黑体" w:cs="Times New Roman"/>
          <w:sz w:val="32"/>
          <w:szCs w:val="32"/>
          <w:lang w:eastAsia="zh-CN"/>
        </w:rPr>
        <w:t>十、</w:t>
      </w:r>
      <w:r>
        <w:rPr>
          <w:rFonts w:ascii="Times New Roman" w:hAnsi="Times New Roman" w:eastAsia="黑体" w:cs="Times New Roman"/>
          <w:sz w:val="32"/>
          <w:szCs w:val="32"/>
        </w:rPr>
        <w:t>其他需要说明的情况</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eastAsia" w:eastAsia="仿宋" w:cs="Times New Roman"/>
          <w:color w:val="000000"/>
          <w:sz w:val="32"/>
          <w:szCs w:val="32"/>
          <w:lang w:val="en-US" w:eastAsia="zh-CN"/>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3、项目支出绩效自评表（每个项目支出一张表！）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7681E"/>
    <w:multiLevelType w:val="singleLevel"/>
    <w:tmpl w:val="9197681E"/>
    <w:lvl w:ilvl="0" w:tentative="0">
      <w:start w:val="9"/>
      <w:numFmt w:val="chineseCounting"/>
      <w:suff w:val="nothing"/>
      <w:lvlText w:val="%1、"/>
      <w:lvlJc w:val="left"/>
      <w:pPr>
        <w:ind w:left="-365"/>
      </w:pPr>
      <w:rPr>
        <w:rFonts w:hint="eastAsia"/>
      </w:rPr>
    </w:lvl>
  </w:abstractNum>
  <w:abstractNum w:abstractNumId="1">
    <w:nsid w:val="10F301EE"/>
    <w:multiLevelType w:val="singleLevel"/>
    <w:tmpl w:val="10F301EE"/>
    <w:lvl w:ilvl="0" w:tentative="0">
      <w:start w:val="2"/>
      <w:numFmt w:val="chineseCounting"/>
      <w:suff w:val="nothing"/>
      <w:lvlText w:val="（%1）"/>
      <w:lvlJc w:val="left"/>
      <w:rPr>
        <w:rFonts w:hint="eastAsia"/>
      </w:rPr>
    </w:lvl>
  </w:abstractNum>
  <w:abstractNum w:abstractNumId="2">
    <w:nsid w:val="312060B7"/>
    <w:multiLevelType w:val="singleLevel"/>
    <w:tmpl w:val="312060B7"/>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ZTliYThhNzVmYmM3MTk3MTY2M2UxMTY3NjdiNzQifQ=="/>
    <w:docVar w:name="KSO_WPS_MARK_KEY" w:val="2cad2da4-8c74-4208-b950-09c4ddb6f378"/>
  </w:docVars>
  <w:rsids>
    <w:rsidRoot w:val="00000000"/>
    <w:rsid w:val="08C77DE1"/>
    <w:rsid w:val="0C7D37ED"/>
    <w:rsid w:val="111C0C02"/>
    <w:rsid w:val="1EA33F65"/>
    <w:rsid w:val="269E5DD8"/>
    <w:rsid w:val="37526E9E"/>
    <w:rsid w:val="39107A8B"/>
    <w:rsid w:val="3F5D0B04"/>
    <w:rsid w:val="47846AA9"/>
    <w:rsid w:val="4B72396B"/>
    <w:rsid w:val="7CEB3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249</Words>
  <Characters>263</Characters>
  <Lines>0</Lines>
  <Paragraphs>0</Paragraphs>
  <TotalTime>6</TotalTime>
  <ScaleCrop>false</ScaleCrop>
  <LinksUpToDate>false</LinksUpToDate>
  <CharactersWithSpaces>271</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dcterms:modified xsi:type="dcterms:W3CDTF">2024-06-05T03:34:12Z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D1BA0F076F3F45F5A4EC113A94463AE6_12</vt:lpwstr>
  </property>
</Properties>
</file>