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附件1</w:t>
      </w:r>
    </w:p>
    <w:p>
      <w:pPr>
        <w:spacing w:line="600" w:lineRule="exact"/>
        <w:rPr>
          <w:rFonts w:eastAsia="黑体"/>
          <w:sz w:val="32"/>
          <w:szCs w:val="32"/>
        </w:rPr>
      </w:pPr>
    </w:p>
    <w:p>
      <w:pPr>
        <w:spacing w:line="600" w:lineRule="exact"/>
        <w:rPr>
          <w:rFonts w:eastAsia="黑体"/>
          <w:sz w:val="32"/>
          <w:szCs w:val="32"/>
        </w:rPr>
      </w:pPr>
    </w:p>
    <w:p>
      <w:pPr>
        <w:jc w:val="center"/>
        <w:rPr>
          <w:rFonts w:hint="eastAsia" w:eastAsia="方正小标宋_GBK"/>
          <w:sz w:val="52"/>
          <w:szCs w:val="52"/>
          <w:lang w:val="en-US" w:eastAsia="zh-CN"/>
        </w:rPr>
      </w:pPr>
      <w:r>
        <w:rPr>
          <w:rFonts w:eastAsia="方正小标宋_GBK"/>
          <w:sz w:val="52"/>
          <w:szCs w:val="52"/>
        </w:rPr>
        <w:t>202</w:t>
      </w:r>
      <w:r>
        <w:rPr>
          <w:rFonts w:hint="eastAsia" w:eastAsia="方正小标宋_GBK"/>
          <w:sz w:val="52"/>
          <w:szCs w:val="52"/>
        </w:rPr>
        <w:t>3</w:t>
      </w:r>
      <w:r>
        <w:rPr>
          <w:rFonts w:eastAsia="方正小标宋_GBK"/>
          <w:sz w:val="52"/>
          <w:szCs w:val="52"/>
        </w:rPr>
        <w:t>年度</w:t>
      </w:r>
      <w:r>
        <w:rPr>
          <w:rFonts w:hint="eastAsia" w:eastAsia="方正小标宋_GBK"/>
          <w:sz w:val="52"/>
          <w:szCs w:val="52"/>
          <w:lang w:val="en-US" w:eastAsia="zh-CN"/>
        </w:rPr>
        <w:t>城步苗族自治县文学艺术界</w:t>
      </w:r>
    </w:p>
    <w:p>
      <w:pPr>
        <w:jc w:val="center"/>
        <w:rPr>
          <w:rFonts w:eastAsia="方正小标宋_GBK"/>
          <w:sz w:val="52"/>
          <w:szCs w:val="52"/>
        </w:rPr>
      </w:pPr>
      <w:r>
        <w:rPr>
          <w:rFonts w:hint="eastAsia" w:eastAsia="方正小标宋_GBK"/>
          <w:sz w:val="52"/>
          <w:szCs w:val="52"/>
          <w:lang w:val="en-US" w:eastAsia="zh-CN"/>
        </w:rPr>
        <w:t>联合会</w:t>
      </w:r>
      <w:r>
        <w:rPr>
          <w:rFonts w:eastAsia="方正小标宋_GBK"/>
          <w:sz w:val="52"/>
          <w:szCs w:val="52"/>
        </w:rPr>
        <w:t>整体支出绩效自评报告</w:t>
      </w:r>
    </w:p>
    <w:p>
      <w:pPr>
        <w:jc w:val="center"/>
        <w:rPr>
          <w:rFonts w:eastAsia="方正小标宋_GBK"/>
          <w:b/>
          <w:sz w:val="52"/>
          <w:szCs w:val="5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rPr>
          <w:rFonts w:ascii="仿宋" w:hAnsi="仿宋" w:eastAsia="仿宋" w:cs="仿宋"/>
          <w:sz w:val="32"/>
          <w:szCs w:val="32"/>
          <w:u w:val="single"/>
        </w:rPr>
      </w:pPr>
      <w:r>
        <w:rPr>
          <w:rFonts w:hint="eastAsia" w:ascii="仿宋" w:hAnsi="仿宋" w:eastAsia="仿宋" w:cs="仿宋"/>
          <w:sz w:val="32"/>
          <w:szCs w:val="32"/>
        </w:rPr>
        <w:t>单位名称：</w:t>
      </w:r>
      <w:r>
        <w:rPr>
          <w:rFonts w:hint="eastAsia" w:ascii="仿宋" w:hAnsi="仿宋" w:eastAsia="仿宋" w:cs="仿宋"/>
          <w:sz w:val="32"/>
          <w:szCs w:val="32"/>
          <w:u w:val="single"/>
        </w:rPr>
        <w:t>（盖章）</w:t>
      </w:r>
      <w:r>
        <w:rPr>
          <w:rFonts w:hint="eastAsia" w:ascii="仿宋" w:hAnsi="仿宋" w:eastAsia="仿宋" w:cs="仿宋"/>
          <w:sz w:val="32"/>
          <w:szCs w:val="32"/>
          <w:u w:val="single"/>
          <w:lang w:val="en-US" w:eastAsia="zh-CN"/>
        </w:rPr>
        <w:t>城步苗族自治县文学艺术界联合会</w:t>
      </w:r>
      <w:r>
        <w:rPr>
          <w:rFonts w:hint="eastAsia" w:ascii="仿宋" w:hAnsi="仿宋" w:eastAsia="仿宋" w:cs="仿宋"/>
          <w:sz w:val="32"/>
          <w:szCs w:val="32"/>
          <w:u w:val="single"/>
        </w:rPr>
        <w:t xml:space="preserve">    </w:t>
      </w:r>
    </w:p>
    <w:p>
      <w:pPr>
        <w:spacing w:line="600" w:lineRule="exact"/>
        <w:ind w:firstLine="2800" w:firstLineChars="700"/>
        <w:rPr>
          <w:rFonts w:ascii="仿宋" w:hAnsi="仿宋" w:eastAsia="仿宋" w:cs="仿宋"/>
          <w:sz w:val="40"/>
          <w:szCs w:val="40"/>
        </w:rPr>
      </w:pPr>
      <w:r>
        <w:rPr>
          <w:rFonts w:hint="eastAsia" w:ascii="仿宋" w:hAnsi="仿宋" w:eastAsia="仿宋" w:cs="仿宋"/>
          <w:sz w:val="40"/>
          <w:szCs w:val="40"/>
        </w:rPr>
        <w:t>2024年 5 月31日</w:t>
      </w:r>
    </w:p>
    <w:p/>
    <w:p/>
    <w:p/>
    <w:p/>
    <w:p/>
    <w:p/>
    <w:p/>
    <w:p>
      <w:pPr>
        <w:pStyle w:val="2"/>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p>
    <w:p>
      <w:pPr>
        <w:pStyle w:val="2"/>
        <w:widowControl/>
        <w:shd w:val="clear" w:color="auto" w:fill="FFFFFF"/>
        <w:snapToGrid w:val="0"/>
        <w:spacing w:beforeAutospacing="0" w:afterAutospacing="0" w:line="520" w:lineRule="exact"/>
        <w:jc w:val="center"/>
        <w:rPr>
          <w:rFonts w:hint="eastAsia" w:ascii="方正小标宋_GBK" w:hAnsi="方正小标宋_GBK" w:eastAsia="方正小标宋_GBK" w:cs="方正小标宋_GBK"/>
          <w:color w:val="000000"/>
          <w:sz w:val="44"/>
          <w:szCs w:val="44"/>
          <w:shd w:val="clear" w:color="auto" w:fill="FFFFFF"/>
          <w:lang w:val="en-US" w:eastAsia="zh-CN"/>
        </w:rPr>
      </w:pPr>
      <w:r>
        <w:rPr>
          <w:rFonts w:hint="eastAsia" w:ascii="方正小标宋_GBK" w:hAnsi="方正小标宋_GBK" w:eastAsia="方正小标宋_GBK" w:cs="方正小标宋_GBK"/>
          <w:color w:val="000000"/>
          <w:sz w:val="44"/>
          <w:szCs w:val="44"/>
          <w:shd w:val="clear" w:color="auto" w:fill="FFFFFF"/>
        </w:rPr>
        <w:t>2023年度</w:t>
      </w:r>
      <w:r>
        <w:rPr>
          <w:rFonts w:hint="eastAsia" w:ascii="方正小标宋_GBK" w:hAnsi="方正小标宋_GBK" w:eastAsia="方正小标宋_GBK" w:cs="方正小标宋_GBK"/>
          <w:color w:val="000000"/>
          <w:sz w:val="44"/>
          <w:szCs w:val="44"/>
          <w:shd w:val="clear" w:color="auto" w:fill="FFFFFF"/>
          <w:lang w:val="en-US" w:eastAsia="zh-CN"/>
        </w:rPr>
        <w:t>城步苗族自治县文学艺术界联合会</w:t>
      </w:r>
    </w:p>
    <w:p>
      <w:pPr>
        <w:pStyle w:val="2"/>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整体支出绩效自评报告</w:t>
      </w:r>
    </w:p>
    <w:p>
      <w:pPr>
        <w:pStyle w:val="2"/>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Cs w:val="24"/>
        </w:rPr>
      </w:pPr>
      <w:r>
        <w:rPr>
          <w:rFonts w:hint="eastAsia" w:ascii="方正小标宋_GBK" w:hAnsi="方正小标宋_GBK" w:eastAsia="方正小标宋_GBK" w:cs="方正小标宋_GBK"/>
          <w:color w:val="000000"/>
          <w:szCs w:val="24"/>
          <w:shd w:val="clear" w:color="auto" w:fill="FFFFFF"/>
        </w:rPr>
        <w:t>（参考提纲）</w:t>
      </w:r>
    </w:p>
    <w:p>
      <w:pPr>
        <w:pStyle w:val="2"/>
        <w:widowControl/>
        <w:shd w:val="clear" w:color="auto" w:fill="FFFFFF"/>
        <w:snapToGrid w:val="0"/>
        <w:spacing w:beforeAutospacing="0" w:afterAutospacing="0" w:line="520" w:lineRule="exact"/>
        <w:jc w:val="center"/>
        <w:rPr>
          <w:rFonts w:ascii="仿宋_GB2312" w:cs="仿宋_GB2312"/>
          <w:color w:val="000000"/>
          <w:szCs w:val="24"/>
        </w:rPr>
      </w:pPr>
    </w:p>
    <w:p>
      <w:pPr>
        <w:pStyle w:val="2"/>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pPr>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pPr>
        <w:ind w:firstLine="640" w:firstLineChars="200"/>
        <w:rPr>
          <w:rFonts w:hint="eastAsia" w:ascii="仿宋_GB2312" w:hAnsi="宋体" w:eastAsia="仿宋"/>
          <w:sz w:val="32"/>
          <w:szCs w:val="28"/>
          <w:lang w:val="en-US" w:eastAsia="zh-CN"/>
        </w:rPr>
      </w:pPr>
      <w:r>
        <w:rPr>
          <w:rFonts w:hint="eastAsia" w:ascii="仿宋_GB2312" w:hAnsi="宋体" w:eastAsia="仿宋"/>
          <w:sz w:val="32"/>
          <w:szCs w:val="28"/>
        </w:rPr>
        <w:t>城步苗族自治县文学艺术界联合会</w:t>
      </w:r>
      <w:r>
        <w:rPr>
          <w:rFonts w:hint="eastAsia" w:ascii="仿宋_GB2312" w:hAnsi="宋体" w:eastAsia="仿宋"/>
          <w:sz w:val="32"/>
          <w:szCs w:val="28"/>
          <w:lang w:val="en-US" w:eastAsia="zh-CN"/>
        </w:rPr>
        <w:t>为群团组织，</w:t>
      </w:r>
      <w:r>
        <w:rPr>
          <w:rFonts w:hint="eastAsia"/>
          <w:sz w:val="32"/>
          <w:szCs w:val="32"/>
        </w:rPr>
        <w:t>根据编委核定，我单位内设股室1个，所属二级单位0个，</w:t>
      </w:r>
      <w:r>
        <w:rPr>
          <w:rFonts w:hint="eastAsia" w:ascii="仿宋_GB2312" w:hAnsi="宋体" w:eastAsia="仿宋"/>
          <w:sz w:val="32"/>
          <w:szCs w:val="28"/>
          <w:lang w:val="en-US" w:eastAsia="zh-CN"/>
        </w:rPr>
        <w:t>。</w:t>
      </w:r>
    </w:p>
    <w:p>
      <w:pPr>
        <w:pStyle w:val="2"/>
        <w:widowControl/>
        <w:numPr>
          <w:ilvl w:val="0"/>
          <w:numId w:val="1"/>
        </w:numPr>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人员编制情况</w:t>
      </w:r>
    </w:p>
    <w:p>
      <w:pPr>
        <w:numPr>
          <w:ilvl w:val="0"/>
          <w:numId w:val="0"/>
        </w:numPr>
        <w:ind w:firstLine="640" w:firstLineChars="200"/>
        <w:rPr>
          <w:rFonts w:hint="eastAsia" w:ascii="仿宋_GB2312" w:hAnsi="宋体" w:eastAsia="仿宋"/>
          <w:sz w:val="32"/>
          <w:szCs w:val="28"/>
          <w:lang w:eastAsia="zh-CN"/>
        </w:rPr>
      </w:pPr>
      <w:r>
        <w:rPr>
          <w:rFonts w:hint="eastAsia" w:ascii="仿宋_GB2312" w:hAnsi="宋体" w:eastAsia="仿宋"/>
          <w:sz w:val="32"/>
          <w:szCs w:val="28"/>
        </w:rPr>
        <w:t>行政编制人数</w:t>
      </w:r>
      <w:r>
        <w:rPr>
          <w:rFonts w:ascii="仿宋_GB2312" w:hAnsi="宋体" w:eastAsia="仿宋"/>
          <w:sz w:val="32"/>
          <w:szCs w:val="28"/>
        </w:rPr>
        <w:t>5</w:t>
      </w:r>
      <w:r>
        <w:rPr>
          <w:rFonts w:hint="eastAsia" w:ascii="仿宋_GB2312" w:hAnsi="宋体" w:eastAsia="仿宋"/>
          <w:sz w:val="32"/>
          <w:szCs w:val="28"/>
        </w:rPr>
        <w:t>人，</w:t>
      </w:r>
      <w:r>
        <w:rPr>
          <w:rFonts w:hint="eastAsia" w:ascii="仿宋_GB2312" w:hAnsi="宋体" w:eastAsia="仿宋"/>
          <w:sz w:val="32"/>
          <w:szCs w:val="28"/>
          <w:lang w:val="en-US" w:eastAsia="zh-CN"/>
        </w:rPr>
        <w:t>设主席1名（正科级），副主席2名（副科级），股级职数1名。现</w:t>
      </w:r>
      <w:r>
        <w:rPr>
          <w:rFonts w:hint="eastAsia" w:ascii="仿宋_GB2312" w:hAnsi="宋体" w:eastAsia="仿宋"/>
          <w:sz w:val="32"/>
          <w:szCs w:val="28"/>
        </w:rPr>
        <w:t>有</w:t>
      </w:r>
      <w:r>
        <w:rPr>
          <w:rFonts w:hint="eastAsia" w:ascii="仿宋_GB2312" w:hAnsi="宋体" w:eastAsia="仿宋"/>
          <w:sz w:val="32"/>
          <w:szCs w:val="28"/>
          <w:lang w:val="en-US" w:eastAsia="zh-CN"/>
        </w:rPr>
        <w:t>在职</w:t>
      </w:r>
      <w:r>
        <w:rPr>
          <w:rFonts w:hint="eastAsia" w:ascii="仿宋_GB2312" w:hAnsi="宋体" w:eastAsia="仿宋"/>
          <w:sz w:val="32"/>
          <w:szCs w:val="28"/>
        </w:rPr>
        <w:t>人数</w:t>
      </w:r>
      <w:r>
        <w:rPr>
          <w:rFonts w:ascii="仿宋_GB2312" w:hAnsi="宋体" w:eastAsia="仿宋"/>
          <w:sz w:val="32"/>
          <w:szCs w:val="28"/>
        </w:rPr>
        <w:t>4</w:t>
      </w:r>
      <w:r>
        <w:rPr>
          <w:rFonts w:hint="eastAsia" w:ascii="仿宋_GB2312" w:hAnsi="宋体" w:eastAsia="仿宋"/>
          <w:sz w:val="32"/>
          <w:szCs w:val="28"/>
        </w:rPr>
        <w:t>人</w:t>
      </w:r>
      <w:r>
        <w:rPr>
          <w:rFonts w:hint="eastAsia" w:ascii="仿宋_GB2312" w:hAnsi="宋体" w:eastAsia="仿宋"/>
          <w:sz w:val="32"/>
          <w:szCs w:val="28"/>
          <w:lang w:eastAsia="zh-CN"/>
        </w:rPr>
        <w:t>。</w:t>
      </w:r>
    </w:p>
    <w:p>
      <w:pPr>
        <w:pStyle w:val="2"/>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（三）主要职能职责</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1.贯彻党的文艺工作路线、方针、政策，执行县文学艺术界代表大会和县文联委员会的决议、决定。对全县性各文艺家协会和乡镇文联、行业文联进行团结引导、联络协调、服务管理、自律维权工作。团结全县文艺家和文艺工作者，反映和听取文艺界的情况和意见。</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2.组织召开全县文联代表大会、全委会和主席团会议和全县文联系统的工作会议及全县文艺家会议。</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3.组织团体会员的文艺创作和评论、学术交流、人才培训和调研工作，对团体会员进行业务指导，协同有关部门组织各种文艺评奖和文艺活动。</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4.负责全县文艺界的组织宣传工作。主办文艺刊物《苗岭文艺》和县文联网媒。</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5.协同有关部门组织文艺界同国内外文艺家、文艺团体开展文化交流活动。</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6.协同有关部门对有关民间文学艺术社团进行监督管理和业务指导。</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7.开展维护文艺家和文艺团体知识产权等正当权益工作。</w:t>
      </w:r>
    </w:p>
    <w:p>
      <w:pPr>
        <w:pStyle w:val="2"/>
        <w:widowControl/>
        <w:shd w:val="clear" w:color="auto" w:fill="FFFFFF"/>
        <w:snapToGrid w:val="0"/>
        <w:spacing w:beforeAutospacing="0" w:afterAutospacing="0" w:line="520" w:lineRule="exact"/>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8.完成县委、县政府和县委宣传部交办的其它任务。</w:t>
      </w:r>
    </w:p>
    <w:p>
      <w:pPr>
        <w:pStyle w:val="2"/>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（四）绩效目标设定情况</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lang w:eastAsia="zh-CN"/>
        </w:rPr>
      </w:pPr>
      <w:r>
        <w:rPr>
          <w:rFonts w:hint="eastAsia" w:ascii="楷体_GB2312" w:eastAsia="楷体_GB2312" w:cs="楷体_GB2312"/>
          <w:color w:val="000000"/>
          <w:sz w:val="32"/>
          <w:szCs w:val="32"/>
          <w:shd w:val="clear" w:color="auto" w:fill="FFFFFF"/>
        </w:rPr>
        <w:t>1、出版苗岭文艺2期</w:t>
      </w:r>
      <w:r>
        <w:rPr>
          <w:rFonts w:hint="eastAsia" w:ascii="楷体_GB2312" w:eastAsia="楷体_GB2312" w:cs="楷体_GB2312"/>
          <w:color w:val="000000"/>
          <w:sz w:val="32"/>
          <w:szCs w:val="32"/>
          <w:shd w:val="clear" w:color="auto" w:fill="FFFFFF"/>
          <w:lang w:eastAsia="zh-CN"/>
        </w:rPr>
        <w:t>；</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lang w:eastAsia="zh-CN"/>
        </w:rPr>
      </w:pPr>
      <w:r>
        <w:rPr>
          <w:rFonts w:hint="eastAsia" w:ascii="楷体_GB2312" w:eastAsia="楷体_GB2312" w:cs="楷体_GB2312"/>
          <w:color w:val="000000"/>
          <w:sz w:val="32"/>
          <w:szCs w:val="32"/>
          <w:shd w:val="clear" w:color="auto" w:fill="FFFFFF"/>
        </w:rPr>
        <w:t>2、市级以上发表文艺作品20件以上</w:t>
      </w:r>
      <w:r>
        <w:rPr>
          <w:rFonts w:hint="eastAsia" w:ascii="楷体_GB2312" w:eastAsia="楷体_GB2312" w:cs="楷体_GB2312"/>
          <w:color w:val="000000"/>
          <w:sz w:val="32"/>
          <w:szCs w:val="32"/>
          <w:shd w:val="clear" w:color="auto" w:fill="FFFFFF"/>
          <w:lang w:eastAsia="zh-CN"/>
        </w:rPr>
        <w:t>；</w:t>
      </w:r>
    </w:p>
    <w:p>
      <w:pPr>
        <w:pStyle w:val="2"/>
        <w:widowControl/>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lang w:eastAsia="zh-CN"/>
        </w:rPr>
      </w:pPr>
      <w:r>
        <w:rPr>
          <w:rFonts w:hint="eastAsia" w:ascii="楷体_GB2312" w:eastAsia="楷体_GB2312" w:cs="楷体_GB2312"/>
          <w:color w:val="000000"/>
          <w:sz w:val="32"/>
          <w:szCs w:val="32"/>
          <w:shd w:val="clear" w:color="auto" w:fill="FFFFFF"/>
        </w:rPr>
        <w:t>3、举办协会活动2次以上</w:t>
      </w:r>
      <w:r>
        <w:rPr>
          <w:rFonts w:hint="eastAsia" w:ascii="楷体_GB2312" w:eastAsia="楷体_GB2312" w:cs="楷体_GB2312"/>
          <w:color w:val="000000"/>
          <w:sz w:val="32"/>
          <w:szCs w:val="32"/>
          <w:shd w:val="clear" w:color="auto" w:fill="FFFFFF"/>
          <w:lang w:eastAsia="zh-CN"/>
        </w:rPr>
        <w:t>。</w:t>
      </w:r>
    </w:p>
    <w:p>
      <w:pPr>
        <w:snapToGrid w:val="0"/>
        <w:spacing w:line="520" w:lineRule="exact"/>
        <w:rPr>
          <w:rFonts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二、部门整体支出管理及使用情况</w:t>
      </w:r>
    </w:p>
    <w:p>
      <w:pPr>
        <w:pStyle w:val="5"/>
        <w:widowControl/>
        <w:spacing w:line="600" w:lineRule="exact"/>
        <w:ind w:left="640" w:firstLine="0" w:firstLineChars="0"/>
        <w:rPr>
          <w:rFonts w:eastAsia="楷体_GB2312"/>
          <w:sz w:val="32"/>
          <w:szCs w:val="32"/>
        </w:rPr>
      </w:pPr>
      <w:r>
        <w:rPr>
          <w:rFonts w:eastAsia="楷体_GB2312"/>
          <w:sz w:val="32"/>
          <w:szCs w:val="32"/>
        </w:rPr>
        <w:t>（一）</w:t>
      </w:r>
      <w:r>
        <w:rPr>
          <w:rFonts w:hint="eastAsia" w:eastAsia="楷体_GB2312"/>
          <w:sz w:val="32"/>
          <w:szCs w:val="32"/>
        </w:rPr>
        <w:t>部门</w:t>
      </w:r>
      <w:r>
        <w:rPr>
          <w:rFonts w:eastAsia="楷体_GB2312"/>
          <w:sz w:val="32"/>
          <w:szCs w:val="32"/>
        </w:rPr>
        <w:t>预决算情况</w:t>
      </w:r>
    </w:p>
    <w:p>
      <w:pPr>
        <w:spacing w:line="600" w:lineRule="exact"/>
        <w:ind w:firstLine="640" w:firstLineChars="200"/>
        <w:rPr>
          <w:sz w:val="32"/>
          <w:szCs w:val="32"/>
        </w:rPr>
      </w:pPr>
      <w:r>
        <w:rPr>
          <w:sz w:val="32"/>
          <w:szCs w:val="32"/>
        </w:rPr>
        <w:t>1.部门预算情况</w:t>
      </w:r>
    </w:p>
    <w:p>
      <w:pPr>
        <w:spacing w:line="600" w:lineRule="exact"/>
        <w:ind w:firstLine="640" w:firstLineChars="200"/>
        <w:rPr>
          <w:sz w:val="32"/>
          <w:szCs w:val="32"/>
        </w:rPr>
      </w:pPr>
      <w:r>
        <w:rPr>
          <w:sz w:val="32"/>
          <w:szCs w:val="32"/>
        </w:rPr>
        <w:t>2023年年初预算安排收入</w:t>
      </w:r>
      <w:r>
        <w:rPr>
          <w:rFonts w:hint="eastAsia"/>
          <w:sz w:val="32"/>
          <w:szCs w:val="32"/>
        </w:rPr>
        <w:t>86.07</w:t>
      </w:r>
      <w:r>
        <w:rPr>
          <w:sz w:val="32"/>
          <w:szCs w:val="32"/>
        </w:rPr>
        <w:t>万元，其中一般公共财政拨款</w:t>
      </w:r>
      <w:r>
        <w:rPr>
          <w:rFonts w:hint="eastAsia"/>
          <w:sz w:val="32"/>
          <w:szCs w:val="32"/>
        </w:rPr>
        <w:t>86.07</w:t>
      </w:r>
      <w:r>
        <w:rPr>
          <w:sz w:val="32"/>
          <w:szCs w:val="32"/>
        </w:rPr>
        <w:t>万元；2023年年初预算安排支出</w:t>
      </w:r>
      <w:r>
        <w:rPr>
          <w:rFonts w:hint="eastAsia"/>
          <w:sz w:val="32"/>
          <w:szCs w:val="32"/>
        </w:rPr>
        <w:t>86.07</w:t>
      </w:r>
      <w:r>
        <w:rPr>
          <w:sz w:val="32"/>
          <w:szCs w:val="32"/>
        </w:rPr>
        <w:t>万元</w:t>
      </w:r>
      <w:r>
        <w:rPr>
          <w:rFonts w:hint="eastAsia"/>
          <w:sz w:val="32"/>
          <w:szCs w:val="32"/>
        </w:rPr>
        <w:t>，</w:t>
      </w:r>
      <w:r>
        <w:rPr>
          <w:sz w:val="32"/>
          <w:szCs w:val="32"/>
        </w:rPr>
        <w:t>，其中：基本支出</w:t>
      </w:r>
      <w:r>
        <w:rPr>
          <w:rFonts w:hint="eastAsia"/>
          <w:sz w:val="32"/>
          <w:szCs w:val="32"/>
        </w:rPr>
        <w:t>54.07</w:t>
      </w:r>
      <w:r>
        <w:rPr>
          <w:sz w:val="32"/>
          <w:szCs w:val="32"/>
        </w:rPr>
        <w:t>万元，项目支出</w:t>
      </w:r>
      <w:r>
        <w:rPr>
          <w:rFonts w:hint="eastAsia"/>
          <w:sz w:val="32"/>
          <w:szCs w:val="32"/>
        </w:rPr>
        <w:t>32</w:t>
      </w:r>
      <w:r>
        <w:rPr>
          <w:sz w:val="32"/>
          <w:szCs w:val="32"/>
        </w:rPr>
        <w:t>万元。</w:t>
      </w:r>
    </w:p>
    <w:p>
      <w:pPr>
        <w:spacing w:line="600" w:lineRule="exact"/>
        <w:ind w:firstLine="640" w:firstLineChars="200"/>
        <w:rPr>
          <w:sz w:val="32"/>
          <w:szCs w:val="32"/>
        </w:rPr>
      </w:pPr>
      <w:r>
        <w:rPr>
          <w:sz w:val="32"/>
          <w:szCs w:val="32"/>
        </w:rPr>
        <w:t>2.部门决算情况（含年中预算追加情况）</w:t>
      </w:r>
    </w:p>
    <w:p>
      <w:pPr>
        <w:spacing w:line="600" w:lineRule="exact"/>
        <w:ind w:firstLine="640" w:firstLineChars="200"/>
        <w:rPr>
          <w:sz w:val="32"/>
          <w:szCs w:val="32"/>
        </w:rPr>
      </w:pPr>
      <w:r>
        <w:rPr>
          <w:sz w:val="32"/>
          <w:szCs w:val="32"/>
        </w:rPr>
        <w:t>2023年决算总收入</w:t>
      </w:r>
      <w:r>
        <w:rPr>
          <w:rFonts w:hint="eastAsia"/>
          <w:sz w:val="32"/>
          <w:szCs w:val="32"/>
        </w:rPr>
        <w:t>104.26</w:t>
      </w:r>
      <w:r>
        <w:rPr>
          <w:sz w:val="32"/>
          <w:szCs w:val="32"/>
        </w:rPr>
        <w:t>万元，较预算增加</w:t>
      </w:r>
      <w:r>
        <w:rPr>
          <w:rFonts w:hint="eastAsia"/>
          <w:sz w:val="32"/>
          <w:szCs w:val="32"/>
        </w:rPr>
        <w:t>18.19</w:t>
      </w:r>
      <w:r>
        <w:rPr>
          <w:sz w:val="32"/>
          <w:szCs w:val="32"/>
        </w:rPr>
        <w:t>万元，总支出</w:t>
      </w:r>
      <w:r>
        <w:rPr>
          <w:rFonts w:hint="eastAsia"/>
          <w:sz w:val="32"/>
          <w:szCs w:val="32"/>
        </w:rPr>
        <w:t>105.7</w:t>
      </w:r>
      <w:r>
        <w:rPr>
          <w:sz w:val="32"/>
          <w:szCs w:val="32"/>
        </w:rPr>
        <w:t>万元，其中：基本支出</w:t>
      </w:r>
      <w:r>
        <w:rPr>
          <w:rFonts w:hint="eastAsia"/>
          <w:sz w:val="32"/>
          <w:szCs w:val="32"/>
        </w:rPr>
        <w:t>73.7</w:t>
      </w:r>
      <w:r>
        <w:rPr>
          <w:sz w:val="32"/>
          <w:szCs w:val="32"/>
        </w:rPr>
        <w:t>万元，占总支出的</w:t>
      </w:r>
      <w:r>
        <w:rPr>
          <w:rFonts w:hint="eastAsia"/>
          <w:sz w:val="32"/>
          <w:szCs w:val="32"/>
        </w:rPr>
        <w:t>69</w:t>
      </w:r>
      <w:r>
        <w:rPr>
          <w:sz w:val="32"/>
          <w:szCs w:val="32"/>
        </w:rPr>
        <w:t>％；项目支出</w:t>
      </w:r>
      <w:r>
        <w:rPr>
          <w:rFonts w:hint="eastAsia"/>
          <w:sz w:val="32"/>
          <w:szCs w:val="32"/>
        </w:rPr>
        <w:t>32</w:t>
      </w:r>
      <w:r>
        <w:rPr>
          <w:sz w:val="32"/>
          <w:szCs w:val="32"/>
        </w:rPr>
        <w:t>万元，占总支出的</w:t>
      </w:r>
      <w:r>
        <w:rPr>
          <w:rFonts w:hint="eastAsia"/>
          <w:sz w:val="32"/>
          <w:szCs w:val="32"/>
        </w:rPr>
        <w:t>31</w:t>
      </w:r>
      <w:r>
        <w:rPr>
          <w:sz w:val="32"/>
          <w:szCs w:val="32"/>
        </w:rPr>
        <w:t>％。差异产生的主要原因是</w:t>
      </w:r>
      <w:r>
        <w:rPr>
          <w:rFonts w:hint="eastAsia"/>
          <w:sz w:val="32"/>
          <w:szCs w:val="32"/>
        </w:rPr>
        <w:t>增加协会活动经费</w:t>
      </w:r>
      <w:r>
        <w:rPr>
          <w:sz w:val="32"/>
          <w:szCs w:val="32"/>
        </w:rPr>
        <w:t>。</w:t>
      </w:r>
    </w:p>
    <w:p>
      <w:pPr>
        <w:spacing w:line="600" w:lineRule="exact"/>
        <w:ind w:firstLine="640" w:firstLineChars="200"/>
        <w:rPr>
          <w:rFonts w:eastAsia="楷体_GB2312"/>
          <w:sz w:val="32"/>
          <w:szCs w:val="32"/>
        </w:rPr>
      </w:pPr>
      <w:r>
        <w:rPr>
          <w:rFonts w:eastAsia="楷体_GB2312"/>
          <w:sz w:val="32"/>
          <w:szCs w:val="32"/>
        </w:rPr>
        <w:t>（二）部门预算执行情况</w:t>
      </w:r>
    </w:p>
    <w:p>
      <w:pPr>
        <w:spacing w:line="600" w:lineRule="exact"/>
        <w:ind w:firstLine="640" w:firstLineChars="200"/>
        <w:rPr>
          <w:sz w:val="32"/>
          <w:szCs w:val="32"/>
        </w:rPr>
      </w:pPr>
      <w:r>
        <w:rPr>
          <w:rFonts w:hint="eastAsia"/>
          <w:sz w:val="32"/>
          <w:szCs w:val="32"/>
        </w:rPr>
        <w:t>1</w:t>
      </w:r>
      <w:r>
        <w:rPr>
          <w:sz w:val="32"/>
          <w:szCs w:val="32"/>
        </w:rPr>
        <w:t>.“三公</w:t>
      </w:r>
      <w:r>
        <w:rPr>
          <w:rFonts w:hint="eastAsia"/>
          <w:sz w:val="32"/>
          <w:szCs w:val="32"/>
        </w:rPr>
        <w:t>”</w:t>
      </w:r>
      <w:r>
        <w:rPr>
          <w:sz w:val="32"/>
          <w:szCs w:val="32"/>
        </w:rPr>
        <w:t>经费执行情况</w:t>
      </w:r>
    </w:p>
    <w:p>
      <w:pPr>
        <w:spacing w:line="600" w:lineRule="exact"/>
        <w:ind w:firstLine="640" w:firstLineChars="200"/>
        <w:rPr>
          <w:sz w:val="32"/>
          <w:szCs w:val="32"/>
        </w:rPr>
      </w:pPr>
      <w:r>
        <w:rPr>
          <w:sz w:val="32"/>
          <w:szCs w:val="32"/>
        </w:rPr>
        <w:t>2023年“三公</w:t>
      </w:r>
      <w:r>
        <w:rPr>
          <w:rFonts w:hint="eastAsia"/>
          <w:sz w:val="32"/>
          <w:szCs w:val="32"/>
        </w:rPr>
        <w:t>”</w:t>
      </w:r>
      <w:r>
        <w:rPr>
          <w:sz w:val="32"/>
          <w:szCs w:val="32"/>
        </w:rPr>
        <w:t>经费预算数</w:t>
      </w:r>
      <w:r>
        <w:rPr>
          <w:rFonts w:hint="eastAsia"/>
          <w:sz w:val="32"/>
          <w:szCs w:val="32"/>
        </w:rPr>
        <w:t>1</w:t>
      </w:r>
      <w:r>
        <w:rPr>
          <w:sz w:val="32"/>
          <w:szCs w:val="32"/>
        </w:rPr>
        <w:t>万元，其中：因公出国（境）费</w:t>
      </w:r>
      <w:r>
        <w:rPr>
          <w:rFonts w:hint="eastAsia"/>
          <w:sz w:val="32"/>
          <w:szCs w:val="32"/>
        </w:rPr>
        <w:t>0</w:t>
      </w:r>
      <w:r>
        <w:rPr>
          <w:sz w:val="32"/>
          <w:szCs w:val="32"/>
        </w:rPr>
        <w:t>万元，公务用车购置及运行维护费</w:t>
      </w:r>
      <w:r>
        <w:rPr>
          <w:rFonts w:hint="eastAsia"/>
          <w:sz w:val="32"/>
          <w:szCs w:val="32"/>
        </w:rPr>
        <w:t>0</w:t>
      </w:r>
      <w:r>
        <w:rPr>
          <w:sz w:val="32"/>
          <w:szCs w:val="32"/>
        </w:rPr>
        <w:t>万元，公务接待费</w:t>
      </w:r>
      <w:r>
        <w:rPr>
          <w:rFonts w:hint="eastAsia"/>
          <w:sz w:val="32"/>
          <w:szCs w:val="32"/>
        </w:rPr>
        <w:t>1</w:t>
      </w:r>
      <w:r>
        <w:rPr>
          <w:sz w:val="32"/>
          <w:szCs w:val="32"/>
        </w:rPr>
        <w:t>万元。“三公</w:t>
      </w:r>
      <w:r>
        <w:rPr>
          <w:rFonts w:hint="eastAsia"/>
          <w:sz w:val="32"/>
          <w:szCs w:val="32"/>
        </w:rPr>
        <w:t>”</w:t>
      </w:r>
      <w:r>
        <w:rPr>
          <w:sz w:val="32"/>
          <w:szCs w:val="32"/>
        </w:rPr>
        <w:t>经费决算数</w:t>
      </w:r>
      <w:r>
        <w:rPr>
          <w:rFonts w:hint="eastAsia"/>
          <w:sz w:val="32"/>
          <w:szCs w:val="32"/>
        </w:rPr>
        <w:t>0.85</w:t>
      </w:r>
      <w:r>
        <w:rPr>
          <w:sz w:val="32"/>
          <w:szCs w:val="32"/>
        </w:rPr>
        <w:t>元，其中：因公出国（境）费</w:t>
      </w:r>
      <w:r>
        <w:rPr>
          <w:rFonts w:hint="eastAsia"/>
          <w:sz w:val="32"/>
          <w:szCs w:val="32"/>
        </w:rPr>
        <w:t>0</w:t>
      </w:r>
      <w:r>
        <w:rPr>
          <w:sz w:val="32"/>
          <w:szCs w:val="32"/>
        </w:rPr>
        <w:t>万元，公务用车运行维护费*</w:t>
      </w:r>
      <w:r>
        <w:rPr>
          <w:rFonts w:hint="eastAsia"/>
          <w:sz w:val="32"/>
          <w:szCs w:val="32"/>
        </w:rPr>
        <w:t>0</w:t>
      </w:r>
      <w:r>
        <w:rPr>
          <w:sz w:val="32"/>
          <w:szCs w:val="32"/>
        </w:rPr>
        <w:t>万元，公务接待费</w:t>
      </w:r>
      <w:r>
        <w:rPr>
          <w:rFonts w:hint="eastAsia"/>
          <w:sz w:val="32"/>
          <w:szCs w:val="32"/>
        </w:rPr>
        <w:t>0.85</w:t>
      </w:r>
      <w:r>
        <w:rPr>
          <w:sz w:val="32"/>
          <w:szCs w:val="32"/>
        </w:rPr>
        <w:t>万元。</w:t>
      </w:r>
    </w:p>
    <w:p>
      <w:pPr>
        <w:spacing w:line="600" w:lineRule="exact"/>
        <w:ind w:firstLine="640" w:firstLineChars="200"/>
        <w:rPr>
          <w:sz w:val="32"/>
          <w:szCs w:val="32"/>
        </w:rPr>
      </w:pPr>
      <w:r>
        <w:rPr>
          <w:rFonts w:hint="eastAsia"/>
          <w:sz w:val="32"/>
          <w:szCs w:val="32"/>
        </w:rPr>
        <w:t>2</w:t>
      </w:r>
      <w:r>
        <w:rPr>
          <w:sz w:val="32"/>
          <w:szCs w:val="32"/>
        </w:rPr>
        <w:t>.政府采购执行情况</w:t>
      </w:r>
    </w:p>
    <w:p>
      <w:pPr>
        <w:spacing w:line="600" w:lineRule="exact"/>
        <w:ind w:firstLine="640" w:firstLineChars="200"/>
        <w:rPr>
          <w:rFonts w:ascii="楷体_GB2312" w:eastAsia="楷体_GB2312" w:cs="楷体_GB2312"/>
          <w:color w:val="000000"/>
          <w:sz w:val="32"/>
          <w:szCs w:val="32"/>
        </w:rPr>
      </w:pPr>
      <w:r>
        <w:rPr>
          <w:sz w:val="32"/>
          <w:szCs w:val="32"/>
        </w:rPr>
        <w:t>2023年度政府采购支出</w:t>
      </w:r>
      <w:r>
        <w:rPr>
          <w:rFonts w:hint="eastAsia"/>
          <w:sz w:val="32"/>
          <w:szCs w:val="32"/>
        </w:rPr>
        <w:t>0</w:t>
      </w:r>
      <w:r>
        <w:rPr>
          <w:sz w:val="32"/>
          <w:szCs w:val="32"/>
        </w:rPr>
        <w:t>万元，其中：货物</w:t>
      </w:r>
      <w:r>
        <w:rPr>
          <w:rFonts w:hint="eastAsia"/>
          <w:sz w:val="32"/>
          <w:szCs w:val="32"/>
        </w:rPr>
        <w:t>0</w:t>
      </w:r>
      <w:r>
        <w:rPr>
          <w:sz w:val="32"/>
          <w:szCs w:val="32"/>
        </w:rPr>
        <w:t>元，工程</w:t>
      </w:r>
      <w:r>
        <w:rPr>
          <w:rFonts w:hint="eastAsia"/>
          <w:sz w:val="32"/>
          <w:szCs w:val="32"/>
        </w:rPr>
        <w:t>0</w:t>
      </w:r>
      <w:r>
        <w:rPr>
          <w:sz w:val="32"/>
          <w:szCs w:val="32"/>
        </w:rPr>
        <w:t>万元，服务</w:t>
      </w:r>
      <w:r>
        <w:rPr>
          <w:rFonts w:hint="eastAsia"/>
          <w:sz w:val="32"/>
          <w:szCs w:val="32"/>
        </w:rPr>
        <w:t>0</w:t>
      </w:r>
      <w:r>
        <w:rPr>
          <w:sz w:val="32"/>
          <w:szCs w:val="32"/>
        </w:rPr>
        <w:t>万元。</w:t>
      </w:r>
    </w:p>
    <w:p>
      <w:pPr>
        <w:pStyle w:val="2"/>
        <w:widowControl/>
        <w:numPr>
          <w:ilvl w:val="0"/>
          <w:numId w:val="2"/>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pPr>
        <w:pStyle w:val="5"/>
        <w:widowControl/>
        <w:spacing w:line="560" w:lineRule="exact"/>
        <w:ind w:firstLine="640"/>
        <w:jc w:val="left"/>
        <w:rPr>
          <w:rFonts w:ascii="黑体" w:hAnsi="黑体" w:eastAsia="黑体" w:cs="黑体"/>
          <w:color w:val="000000"/>
          <w:sz w:val="32"/>
          <w:szCs w:val="32"/>
          <w:shd w:val="clear" w:color="auto" w:fill="FFFFFF"/>
        </w:rPr>
      </w:pPr>
      <w:r>
        <w:rPr>
          <w:rFonts w:hint="eastAsia"/>
          <w:kern w:val="0"/>
          <w:sz w:val="32"/>
          <w:szCs w:val="32"/>
          <w:lang w:val="en-US" w:eastAsia="zh-CN"/>
        </w:rPr>
        <w:t>无</w:t>
      </w:r>
      <w:r>
        <w:rPr>
          <w:rFonts w:hint="eastAsia"/>
          <w:kern w:val="0"/>
          <w:sz w:val="32"/>
          <w:szCs w:val="32"/>
        </w:rPr>
        <w:t>政府性基金</w:t>
      </w:r>
      <w:r>
        <w:rPr>
          <w:rFonts w:hint="eastAsia"/>
          <w:kern w:val="0"/>
          <w:sz w:val="32"/>
          <w:szCs w:val="32"/>
          <w:lang w:val="en-US" w:eastAsia="zh-CN"/>
        </w:rPr>
        <w:t>预算</w:t>
      </w:r>
      <w:r>
        <w:rPr>
          <w:rFonts w:hint="eastAsia"/>
          <w:kern w:val="0"/>
          <w:sz w:val="32"/>
          <w:szCs w:val="32"/>
        </w:rPr>
        <w:t>。</w:t>
      </w:r>
    </w:p>
    <w:p>
      <w:pPr>
        <w:pStyle w:val="2"/>
        <w:widowControl/>
        <w:numPr>
          <w:ilvl w:val="0"/>
          <w:numId w:val="2"/>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pPr>
        <w:pStyle w:val="2"/>
        <w:widowControl/>
        <w:shd w:val="clear" w:color="auto" w:fill="FFFFFF"/>
        <w:snapToGrid w:val="0"/>
        <w:spacing w:beforeAutospacing="0" w:afterAutospacing="0" w:line="520" w:lineRule="exact"/>
        <w:ind w:firstLine="640" w:firstLineChars="200"/>
        <w:rPr>
          <w:rFonts w:hint="eastAsia" w:ascii="黑体" w:hAnsi="黑体" w:eastAsia="仿宋_GB2312" w:cs="黑体"/>
          <w:color w:val="000000"/>
          <w:sz w:val="32"/>
          <w:szCs w:val="32"/>
          <w:shd w:val="clear" w:color="auto" w:fill="FFFFFF"/>
          <w:lang w:val="en-US" w:eastAsia="zh-CN"/>
        </w:rPr>
      </w:pPr>
      <w:r>
        <w:rPr>
          <w:rFonts w:hint="eastAsia"/>
          <w:sz w:val="32"/>
          <w:szCs w:val="32"/>
          <w:lang w:val="en-US" w:eastAsia="zh-CN"/>
        </w:rPr>
        <w:t>无</w:t>
      </w:r>
      <w:r>
        <w:rPr>
          <w:rFonts w:hint="eastAsia"/>
          <w:sz w:val="32"/>
          <w:szCs w:val="32"/>
        </w:rPr>
        <w:t>国有资本经营</w:t>
      </w:r>
      <w:r>
        <w:rPr>
          <w:rFonts w:hint="eastAsia"/>
          <w:sz w:val="32"/>
          <w:szCs w:val="32"/>
          <w:lang w:val="en-US" w:eastAsia="zh-CN"/>
        </w:rPr>
        <w:t>预算。</w:t>
      </w:r>
    </w:p>
    <w:p>
      <w:pPr>
        <w:pStyle w:val="2"/>
        <w:widowControl/>
        <w:numPr>
          <w:ilvl w:val="0"/>
          <w:numId w:val="2"/>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pPr>
        <w:pStyle w:val="5"/>
        <w:widowControl/>
        <w:spacing w:line="560" w:lineRule="exact"/>
        <w:ind w:firstLine="640"/>
        <w:jc w:val="left"/>
        <w:rPr>
          <w:rFonts w:ascii="黑体" w:hAnsi="黑体" w:eastAsia="黑体" w:cs="黑体"/>
          <w:color w:val="000000"/>
          <w:sz w:val="32"/>
          <w:szCs w:val="32"/>
          <w:shd w:val="clear" w:color="auto" w:fill="FFFFFF"/>
        </w:rPr>
      </w:pPr>
      <w:r>
        <w:rPr>
          <w:rFonts w:hint="eastAsia" w:ascii="Times New Roman" w:hAnsi="Times New Roman"/>
          <w:kern w:val="0"/>
          <w:sz w:val="32"/>
          <w:szCs w:val="32"/>
        </w:rPr>
        <w:t>无社会保险基金预算</w:t>
      </w:r>
      <w:r>
        <w:rPr>
          <w:rFonts w:hint="eastAsia"/>
          <w:kern w:val="0"/>
          <w:sz w:val="32"/>
          <w:szCs w:val="32"/>
        </w:rPr>
        <w:t>。</w:t>
      </w:r>
    </w:p>
    <w:p>
      <w:pPr>
        <w:pStyle w:val="2"/>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pPr>
        <w:pStyle w:val="2"/>
        <w:widowControl/>
        <w:shd w:val="clear" w:color="auto" w:fill="FFFFFF"/>
        <w:snapToGrid w:val="0"/>
        <w:spacing w:beforeAutospacing="0" w:afterAutospacing="0" w:line="520" w:lineRule="exact"/>
        <w:ind w:firstLine="640" w:firstLineChars="200"/>
        <w:rPr>
          <w:rFonts w:ascii="楷体_GB2312" w:eastAsia="楷体_GB2312" w:cs="楷体_GB2312"/>
          <w:color w:val="000000"/>
          <w:sz w:val="32"/>
          <w:szCs w:val="32"/>
        </w:rPr>
      </w:pPr>
      <w:r>
        <w:rPr>
          <w:rFonts w:ascii="楷体_GB2312" w:eastAsia="楷体_GB2312" w:cs="楷体_GB2312"/>
          <w:color w:val="000000"/>
          <w:sz w:val="32"/>
          <w:szCs w:val="32"/>
          <w:shd w:val="clear" w:color="auto" w:fill="FFFFFF"/>
        </w:rPr>
        <w:t>（一）</w:t>
      </w:r>
      <w:r>
        <w:rPr>
          <w:rFonts w:hint="eastAsia" w:ascii="仿宋_GB2312" w:cs="仿宋_GB2312"/>
          <w:color w:val="000000"/>
          <w:sz w:val="32"/>
          <w:szCs w:val="32"/>
          <w:shd w:val="clear" w:color="auto" w:fill="FFFFFF"/>
        </w:rPr>
        <w:t>全面完成年初制订的绩效工作目标，</w:t>
      </w:r>
      <w:r>
        <w:rPr>
          <w:rFonts w:ascii="仿宋_GB2312" w:cs="仿宋_GB2312"/>
          <w:color w:val="000000"/>
          <w:sz w:val="32"/>
          <w:szCs w:val="32"/>
          <w:shd w:val="clear" w:color="auto" w:fill="FFFFFF"/>
        </w:rPr>
        <w:t>1</w:t>
      </w:r>
      <w:r>
        <w:rPr>
          <w:rFonts w:hint="eastAsia" w:ascii="仿宋_GB2312" w:cs="仿宋_GB2312"/>
          <w:color w:val="000000"/>
          <w:sz w:val="32"/>
          <w:szCs w:val="32"/>
          <w:shd w:val="clear" w:color="auto" w:fill="FFFFFF"/>
        </w:rPr>
        <w:t>：组织文艺家协会活动</w:t>
      </w:r>
      <w:r>
        <w:rPr>
          <w:rFonts w:ascii="仿宋_GB2312" w:cs="仿宋_GB2312"/>
          <w:color w:val="000000"/>
          <w:sz w:val="32"/>
          <w:szCs w:val="32"/>
          <w:shd w:val="clear" w:color="auto" w:fill="FFFFFF"/>
        </w:rPr>
        <w:t xml:space="preserve">2 </w:t>
      </w:r>
      <w:r>
        <w:rPr>
          <w:rFonts w:hint="eastAsia" w:ascii="仿宋_GB2312" w:cs="仿宋_GB2312"/>
          <w:color w:val="000000"/>
          <w:sz w:val="32"/>
          <w:szCs w:val="32"/>
          <w:shd w:val="clear" w:color="auto" w:fill="FFFFFF"/>
        </w:rPr>
        <w:t>次以上。</w:t>
      </w:r>
      <w:r>
        <w:rPr>
          <w:rFonts w:ascii="仿宋_GB2312" w:cs="仿宋_GB2312"/>
          <w:color w:val="000000"/>
          <w:sz w:val="32"/>
          <w:szCs w:val="32"/>
          <w:shd w:val="clear" w:color="auto" w:fill="FFFFFF"/>
        </w:rPr>
        <w:t>2</w:t>
      </w:r>
      <w:r>
        <w:rPr>
          <w:rFonts w:hint="eastAsia" w:ascii="仿宋_GB2312" w:cs="仿宋_GB2312"/>
          <w:color w:val="000000"/>
          <w:sz w:val="32"/>
          <w:szCs w:val="32"/>
          <w:shd w:val="clear" w:color="auto" w:fill="FFFFFF"/>
        </w:rPr>
        <w:t>：出版《苗岭文艺》两期。</w:t>
      </w:r>
      <w:r>
        <w:rPr>
          <w:rFonts w:ascii="仿宋_GB2312" w:cs="仿宋_GB2312"/>
          <w:color w:val="000000"/>
          <w:sz w:val="32"/>
          <w:szCs w:val="32"/>
          <w:shd w:val="clear" w:color="auto" w:fill="FFFFFF"/>
        </w:rPr>
        <w:t>3</w:t>
      </w:r>
      <w:r>
        <w:rPr>
          <w:rFonts w:hint="eastAsia" w:ascii="仿宋_GB2312" w:cs="仿宋_GB2312"/>
          <w:color w:val="000000"/>
          <w:sz w:val="32"/>
          <w:szCs w:val="32"/>
          <w:shd w:val="clear" w:color="auto" w:fill="FFFFFF"/>
        </w:rPr>
        <w:t>：文艺创作，组织文艺家在市以上创作发表展出作品</w:t>
      </w:r>
      <w:r>
        <w:rPr>
          <w:rFonts w:ascii="仿宋_GB2312" w:cs="仿宋_GB2312"/>
          <w:color w:val="000000"/>
          <w:sz w:val="32"/>
          <w:szCs w:val="32"/>
          <w:shd w:val="clear" w:color="auto" w:fill="FFFFFF"/>
        </w:rPr>
        <w:t>20</w:t>
      </w:r>
      <w:r>
        <w:rPr>
          <w:rFonts w:hint="eastAsia" w:ascii="仿宋_GB2312" w:cs="仿宋_GB2312"/>
          <w:color w:val="000000"/>
          <w:sz w:val="32"/>
          <w:szCs w:val="32"/>
          <w:shd w:val="clear" w:color="auto" w:fill="FFFFFF"/>
        </w:rPr>
        <w:t>件以上。重点工作办结率100%。</w:t>
      </w:r>
    </w:p>
    <w:p>
      <w:pPr>
        <w:widowControl/>
        <w:spacing w:line="560" w:lineRule="exact"/>
        <w:ind w:firstLine="645"/>
        <w:jc w:val="left"/>
        <w:rPr>
          <w:rFonts w:hint="eastAsia" w:ascii="仿宋" w:hAnsi="仿宋" w:eastAsia="仿宋" w:cs="仿宋"/>
          <w:color w:val="000000"/>
          <w:kern w:val="0"/>
          <w:sz w:val="32"/>
          <w:szCs w:val="32"/>
          <w:lang w:bidi="ar"/>
        </w:rPr>
      </w:pPr>
      <w:r>
        <w:rPr>
          <w:rFonts w:hint="eastAsia"/>
          <w:sz w:val="32"/>
          <w:szCs w:val="32"/>
        </w:rPr>
        <w:t>（二）履职效益情况：全年热心</w:t>
      </w:r>
      <w:r>
        <w:rPr>
          <w:rFonts w:hint="eastAsia" w:ascii="宋体" w:hAnsi="宋体" w:cs="宋体"/>
          <w:kern w:val="0"/>
        </w:rPr>
        <w:t>服务广大文艺家协会和文艺工作者，促进了文艺创作和文艺交流，推进了社会文化艺术事业发展，取得了良好的</w:t>
      </w:r>
      <w:r>
        <w:rPr>
          <w:rFonts w:hint="eastAsia"/>
        </w:rPr>
        <w:t>社会效益，促进了我县文学艺术事业发展</w:t>
      </w:r>
      <w:r>
        <w:rPr>
          <w:sz w:val="32"/>
          <w:szCs w:val="32"/>
        </w:rPr>
        <w:t>。</w:t>
      </w:r>
      <w:r>
        <w:rPr>
          <w:rFonts w:hint="eastAsia" w:eastAsia="黑体"/>
          <w:sz w:val="32"/>
          <w:szCs w:val="32"/>
        </w:rPr>
        <w:t>2</w:t>
      </w:r>
      <w:r>
        <w:rPr>
          <w:rFonts w:hint="eastAsia" w:ascii="仿宋" w:hAnsi="仿宋" w:eastAsia="仿宋" w:cs="仿宋"/>
          <w:color w:val="000000"/>
          <w:kern w:val="0"/>
          <w:sz w:val="32"/>
          <w:szCs w:val="32"/>
          <w:lang w:bidi="ar"/>
        </w:rPr>
        <w:t>02</w:t>
      </w:r>
      <w:r>
        <w:rPr>
          <w:rFonts w:hint="eastAsia"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bidi="ar"/>
        </w:rPr>
        <w:t>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98分，评价等级“优”。</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color w:val="000000"/>
          <w:kern w:val="0"/>
          <w:sz w:val="32"/>
          <w:szCs w:val="32"/>
          <w:lang w:bidi="ar"/>
        </w:rPr>
        <w:t xml:space="preserve"> 我单位按规定在政府门户网站公开了绩效自评的相关信息，数据真实、完整、准确。</w:t>
      </w:r>
      <w:r>
        <w:rPr>
          <w:rFonts w:hint="eastAsia" w:ascii="仿宋" w:hAnsi="仿宋" w:eastAsia="仿宋" w:cs="仿宋"/>
          <w:sz w:val="32"/>
          <w:szCs w:val="32"/>
        </w:rPr>
        <w:t>社会公众满意度95%。</w:t>
      </w:r>
    </w:p>
    <w:p>
      <w:pPr>
        <w:pStyle w:val="2"/>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pPr>
        <w:widowControl/>
        <w:spacing w:line="560" w:lineRule="exact"/>
        <w:ind w:firstLine="640" w:firstLineChars="200"/>
        <w:jc w:val="left"/>
        <w:rPr>
          <w:rFonts w:hint="eastAsia"/>
          <w:sz w:val="32"/>
          <w:szCs w:val="32"/>
        </w:rPr>
      </w:pPr>
      <w:r>
        <w:rPr>
          <w:rFonts w:hint="eastAsia"/>
          <w:sz w:val="32"/>
          <w:szCs w:val="32"/>
        </w:rPr>
        <w:t>综合评分100分，主要问题是编制数过少，单位人员少，年龄过大，账务业务不专业。</w:t>
      </w:r>
    </w:p>
    <w:p>
      <w:pPr>
        <w:pStyle w:val="2"/>
        <w:widowControl/>
        <w:numPr>
          <w:ilvl w:val="0"/>
          <w:numId w:val="3"/>
        </w:numPr>
        <w:shd w:val="clear" w:color="auto" w:fill="FFFFFF"/>
        <w:snapToGrid w:val="0"/>
        <w:spacing w:beforeAutospacing="0" w:afterAutospacing="0" w:line="520" w:lineRule="exact"/>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下一步改进措施</w:t>
      </w:r>
    </w:p>
    <w:p>
      <w:pPr>
        <w:rPr>
          <w:rFonts w:hint="eastAsia" w:ascii="宋体" w:hAnsi="宋体" w:cs="宋体"/>
          <w:b/>
          <w:bCs/>
          <w:sz w:val="32"/>
          <w:szCs w:val="32"/>
        </w:rPr>
      </w:pPr>
      <w:r>
        <w:rPr>
          <w:rFonts w:hint="eastAsia" w:ascii="黑体" w:hAnsi="黑体" w:eastAsia="黑体" w:cs="黑体"/>
          <w:color w:val="000000"/>
          <w:sz w:val="32"/>
          <w:szCs w:val="32"/>
          <w:shd w:val="clear" w:color="auto" w:fill="FFFFFF"/>
          <w:lang w:val="en-US" w:eastAsia="zh-CN"/>
        </w:rPr>
        <w:t xml:space="preserve">    </w:t>
      </w:r>
      <w:r>
        <w:rPr>
          <w:rFonts w:hint="eastAsia"/>
          <w:sz w:val="32"/>
          <w:szCs w:val="32"/>
        </w:rPr>
        <w:t>建议增加人员编制，选派专业财务人员，进一步规范财务管理。</w:t>
      </w:r>
    </w:p>
    <w:p>
      <w:pPr>
        <w:pStyle w:val="2"/>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pPr>
        <w:pStyle w:val="2"/>
        <w:widowControl/>
        <w:shd w:val="clear" w:color="auto" w:fill="FFFFFF"/>
        <w:snapToGrid w:val="0"/>
        <w:spacing w:beforeAutospacing="0" w:afterAutospacing="0" w:line="520" w:lineRule="exact"/>
        <w:rPr>
          <w:rFonts w:hint="default" w:eastAsia="仿宋_GB2312"/>
          <w:color w:val="000000"/>
          <w:szCs w:val="24"/>
          <w:lang w:val="en-US" w:eastAsia="zh-CN"/>
        </w:rPr>
      </w:pPr>
      <w:r>
        <w:rPr>
          <w:rFonts w:hint="eastAsia"/>
          <w:color w:val="000000"/>
          <w:szCs w:val="24"/>
          <w:lang w:val="en-US" w:eastAsia="zh-CN"/>
        </w:rPr>
        <w:t xml:space="preserve">     </w:t>
      </w:r>
      <w:r>
        <w:rPr>
          <w:rFonts w:hint="eastAsia" w:ascii="Times New Roman" w:hAnsi="Times New Roman" w:eastAsia="仿宋_GB2312" w:cs="Times New Roman"/>
          <w:kern w:val="2"/>
          <w:sz w:val="32"/>
          <w:szCs w:val="32"/>
          <w:lang w:val="en-US" w:eastAsia="zh-CN" w:bidi="ar-SA"/>
        </w:rPr>
        <w:t>无</w:t>
      </w:r>
    </w:p>
    <w:p>
      <w:pPr>
        <w:pStyle w:val="2"/>
        <w:widowControl/>
        <w:shd w:val="clear" w:color="auto" w:fill="FFFFFF"/>
        <w:snapToGrid w:val="0"/>
        <w:spacing w:beforeAutospacing="0" w:afterAutospacing="0" w:line="520" w:lineRule="exact"/>
        <w:rPr>
          <w:rFonts w:ascii="仿宋_GB2312" w:cs="仿宋_GB2312"/>
          <w:color w:val="000000"/>
          <w:sz w:val="32"/>
          <w:szCs w:val="32"/>
          <w:shd w:val="clear" w:color="auto" w:fill="FFFFFF"/>
        </w:rPr>
      </w:pPr>
      <w:bookmarkStart w:id="0" w:name="_GoBack"/>
      <w:bookmarkEnd w:id="0"/>
    </w:p>
    <w:p>
      <w:pPr>
        <w:jc w:val="left"/>
        <w:rPr>
          <w:rFonts w:ascii="仿宋" w:hAnsi="仿宋" w:eastAsia="仿宋" w:cs="仿宋"/>
          <w:b/>
          <w:bCs/>
          <w:sz w:val="30"/>
          <w:szCs w:val="30"/>
        </w:rPr>
      </w:pPr>
    </w:p>
    <w:sectPr>
      <w:pgSz w:w="11906" w:h="16838"/>
      <w:pgMar w:top="1440" w:right="1134"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95A6A"/>
    <w:multiLevelType w:val="singleLevel"/>
    <w:tmpl w:val="84E95A6A"/>
    <w:lvl w:ilvl="0" w:tentative="0">
      <w:start w:val="2"/>
      <w:numFmt w:val="chineseCounting"/>
      <w:suff w:val="nothing"/>
      <w:lvlText w:val="（%1）"/>
      <w:lvlJc w:val="left"/>
      <w:rPr>
        <w:rFonts w:hint="eastAsia"/>
      </w:rPr>
    </w:lvl>
  </w:abstractNum>
  <w:abstractNum w:abstractNumId="1">
    <w:nsid w:val="A74D2CC0"/>
    <w:multiLevelType w:val="singleLevel"/>
    <w:tmpl w:val="A74D2CC0"/>
    <w:lvl w:ilvl="0" w:tentative="0">
      <w:start w:val="8"/>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YmQ3YzBmZTQ1ZDk2MDE2NDBiNGJiNGZiYTQ3Y2QifQ=="/>
    <w:docVar w:name="KSO_WPS_MARK_KEY" w:val="2cad2da4-8c74-4208-b950-09c4ddb6f378"/>
  </w:docVars>
  <w:rsids>
    <w:rsidRoot w:val="003D2529"/>
    <w:rsid w:val="003B3874"/>
    <w:rsid w:val="003D2529"/>
    <w:rsid w:val="00B42951"/>
    <w:rsid w:val="02C96698"/>
    <w:rsid w:val="192B094E"/>
    <w:rsid w:val="1D385D84"/>
    <w:rsid w:val="1DCA2E80"/>
    <w:rsid w:val="1EA33F65"/>
    <w:rsid w:val="20910CF4"/>
    <w:rsid w:val="231D1CA3"/>
    <w:rsid w:val="2441528D"/>
    <w:rsid w:val="269E5DD8"/>
    <w:rsid w:val="2A557F75"/>
    <w:rsid w:val="2B5E2834"/>
    <w:rsid w:val="2CA23219"/>
    <w:rsid w:val="4B72396B"/>
    <w:rsid w:val="653A75D6"/>
    <w:rsid w:val="7A0B43B4"/>
    <w:rsid w:val="7ECD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customStyle="1" w:styleId="5">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1515</Words>
  <Characters>1609</Characters>
  <Lines>7</Lines>
  <Paragraphs>2</Paragraphs>
  <TotalTime>7</TotalTime>
  <ScaleCrop>false</ScaleCrop>
  <LinksUpToDate>false</LinksUpToDate>
  <CharactersWithSpaces>1626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汤圆</cp:lastModifiedBy>
  <cp:lastPrinted>2024-06-06T02:56:39Z</cp:lastPrinted>
  <dcterms:modified xsi:type="dcterms:W3CDTF">2024-06-06T03:01:35Z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D1BA0F076F3F45F5A4EC113A94463AE6_12</vt:lpwstr>
  </property>
</Properties>
</file>