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城步县司法局</w:t>
      </w:r>
      <w:r>
        <w:rPr>
          <w:rFonts w:hint="eastAsia" w:eastAsia="方正小标宋_GBK" w:cs="Times New Roman"/>
          <w:sz w:val="52"/>
          <w:szCs w:val="52"/>
          <w:lang w:eastAsia="zh-CN"/>
        </w:rPr>
        <w:t>部门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城步县司法局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绩效自评报告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根据编委核定，我局内设股室9个, 基层司法所12个。内设股室分别是办公室、政工室、行政执法协调监督股（依法治县工作办公室）、普法与依法治理股、律师工作股、法律援助中心、人民参与与促进法治股、社区矫正股、行政复议与应诉股。基层司法所分别是儒林司法所、茅坪司法所、蒋坊司法所、西岩司法所、威溪司法所、金紫司法所、汀坪司法所、兰蓉司法所、白毛坪司法所、丹口司法所、五团司法所、长安营司法所。</w:t>
      </w:r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城步县司法局现有政法专项编制45名，行政编制2名，事业编制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名（含法援中心4名周转编），其中局机关政法专项编制23名，行政编制2名，司法所政法专项编制22名，法律援助中心事业编制6名（全额拨款，含4名周转编）。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在职干警共4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人，其中局机关17人，司法所19人，法援中心6人。共有辅警18人，其中14人分配在全县12个乡镇司法所。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城步苗族自治县司法局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1、拟定全县法制宣传教育和依法治理规划并组织实施；指导督查各乡镇、各行政执法部门、各行业依法治理工作；参与指导基层民主法制建设；承担依法治县领导小组办公室的日常工作。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受理、审查、指派法律援助案件，为弱势群体提供法律援助；对全县法律援助工作站进行管理和业务上的指导；解答法律咨询。拟定全县律师工作规划，负责律师资格的审查、报批等有关工作，负责律师事务所的设立或注销的审查、报批工作，协助市局对其违法违纪行为的查处。组织法律政策理论调研，组织指导司法行政系统执法监督检查工作，承办局机关重大行政决策方案合法性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制定全县社区矫正工作规划和管理工作规范；指导管理社区矫正工作，组织开展对社区服刑罪犯的监管、教育和考核奖惩；组织动员社会力量参与社区矫正工作，负责社区矫正工作人员的教育培训；指导全县刑释解教人员安置帮教工作；承担县刑释解教人员安置帮教工作领导小组办公室的日常工作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指导全县司法所建设工作；指导人民调解工作；参与指导人民调解、司法调解、行政调解的衔接联动工作；参与社会治安综合治理；负责基层法律服务工作者资格核准初审工作，指导基层法律服务工作；会同人民法院指导人民陪审员工作。</w:t>
      </w:r>
      <w:bookmarkEnd w:id="2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在今年收支预算内，确保完成以下整体目标：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保障司法局在职人员及离退休人员的正常办公、生活秩序。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切实做好普法工作，组织好宣传活动，提升公民的整体法治意识和法律素养。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做好为民办实事工作，法律援助做到应援尽援，维护弱势群体的合法权益。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确保社区矫正人员无脱管、漏管现象发生。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依法依规及时进行人民调解，将矛盾化解在基层，充分发挥第一道防线的作用。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指导、监督好全县行政复议和行政应诉工作，承担好行政复议应诉案件统计分析工作、行政复议宣传工作。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指导、监督全县各部门（单位）行政执法工作，推进严格规范公正文明执法。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完成全面依法治县相关工作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754.56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754.56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754.56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656.06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98.50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1172.14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417.58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1175.36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904.09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76.92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271.27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23.08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和2022绩效考核奖金均2023年年初支付，且2022年年底的智慧矫正项目经费在2023年支付，</w:t>
      </w:r>
      <w:r>
        <w:rPr>
          <w:rFonts w:hint="eastAsia" w:ascii="仿宋" w:hAnsi="仿宋" w:eastAsia="仿宋" w:cs="仿宋"/>
          <w:sz w:val="32"/>
          <w:szCs w:val="32"/>
        </w:rPr>
        <w:t>故较202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年相比，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收入支出增长较多。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16.72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9.31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7.41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8.33万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6.57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1.76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132.86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48.82万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43.26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40.78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司法</w:t>
      </w:r>
      <w:r>
        <w:rPr>
          <w:rFonts w:hint="eastAsia" w:ascii="仿宋" w:hAnsi="仿宋" w:eastAsia="仿宋" w:cs="仿宋"/>
          <w:sz w:val="32"/>
          <w:szCs w:val="32"/>
        </w:rPr>
        <w:t>局在县委、县政府的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正确领导和市司法局的精心指导下</w:t>
      </w:r>
      <w:r>
        <w:rPr>
          <w:rFonts w:hint="eastAsia" w:ascii="仿宋" w:hAnsi="仿宋" w:eastAsia="仿宋" w:cs="仿宋"/>
          <w:sz w:val="32"/>
          <w:szCs w:val="32"/>
        </w:rPr>
        <w:t>，以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党的二十大精神</w:t>
      </w:r>
      <w:r>
        <w:rPr>
          <w:rFonts w:hint="eastAsia" w:ascii="仿宋" w:hAnsi="仿宋" w:eastAsia="仿宋" w:cs="仿宋"/>
          <w:sz w:val="32"/>
          <w:szCs w:val="32"/>
        </w:rPr>
        <w:t>和习近平新时代中国特色社会主义思想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和习近平法治思想</w:t>
      </w:r>
      <w:r>
        <w:rPr>
          <w:rFonts w:hint="eastAsia" w:ascii="仿宋" w:hAnsi="仿宋" w:eastAsia="仿宋" w:cs="仿宋"/>
          <w:sz w:val="32"/>
          <w:szCs w:val="32"/>
        </w:rPr>
        <w:t>为指导，深入贯彻落实司法部、省、市司法行政工作会议精神,认真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做好了</w:t>
      </w:r>
      <w:r>
        <w:rPr>
          <w:rFonts w:hint="eastAsia" w:ascii="仿宋" w:hAnsi="仿宋" w:eastAsia="仿宋" w:cs="仿宋"/>
          <w:sz w:val="32"/>
          <w:szCs w:val="32"/>
        </w:rPr>
        <w:t>人民调解、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、法律服务、社区矫正、法律援助等工作，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较好地完成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</w:rPr>
        <w:t>司法行政工作任务。</w:t>
      </w:r>
    </w:p>
    <w:p>
      <w:pPr>
        <w:pStyle w:val="2"/>
        <w:ind w:firstLine="800" w:firstLineChars="25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年总体绩效目标完成较好，基本按照绩效目标计划实施，保障推进了司法行政改革重点任务、重点工作，取得了良好的社会效益和经济效益，同时切实解决了基层经费不足的实际困难，在维护社会稳定中起到了切实、有效的保障作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数量指标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2023年，城步司法局法律援助中心共受理、办理法律援助案件381件，其中民事72件，刑事71件，认罪认罚法律帮助案件238件。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95%的申请类法律援助案件实行了经济困难证明事项告知承诺制，法律援助申请人无需再找相关部门出具经济状况证明表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，将县委、县政府“一件事一次办”的要求真真切切落到了工作实处；公检法通知的法律援助案件，指派律师提供辩护的比例达到100%。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完善“一村一法律顾问”制度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组织律师、基层法律服务工作者等公共法律服务行业的从业人员深入企业，帮助企业预防、减少法律风险，助力企业稳步发展。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质量指标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县自开展社区矫正工作以来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累计接收社区矫正对象1177人，累计解除社区矫正对象1092人，目前在册85人，其中缓刑78人，假释2人，暂予监外执行5人。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积极走访刑满释放人员，落实帮教措施。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我县共有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安置帮教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人员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971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其中刑满释放人员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712人，解矫人员259人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2023年已完成远程会见25例。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成本指标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spacing w:val="6"/>
          <w:sz w:val="32"/>
          <w:szCs w:val="32"/>
          <w:lang w:val="en-US" w:eastAsia="zh-CN"/>
        </w:rPr>
        <w:t>2023年预算收支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</w:rPr>
        <w:t>严格按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  <w:t>照《会计法》、《预算法》、财政部、司法部下发的《司法行政机关财务管理办法》和司法局《财务管理制度》执行，</w:t>
      </w:r>
      <w:r>
        <w:rPr>
          <w:rFonts w:ascii="Times New Roman" w:hAnsi="Times New Roman" w:eastAsia="仿宋_GB2312" w:cs="Times New Roman"/>
          <w:color w:val="000000"/>
          <w:spacing w:val="6"/>
          <w:kern w:val="0"/>
          <w:sz w:val="32"/>
          <w:szCs w:val="32"/>
        </w:rPr>
        <w:t>各项支出均符合司法行政业务发展规划和相关政策要求，资金使用做到了专款专用，单独核算；支出票据来源合法、内容真实、使用正确；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  <w:t>财务处理及时、报销手续完备、会计核算规范。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经济效益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为最大限度把矛盾纠纷化解在基层，消除在萌芽状态，我局坚持普遍排查与专项排查相结合，建立分类台账，采取对应处置措施，做到早发现、早调处、早化解。今年共调处各类矛盾纠纷1270件，调解成功1240件，调解成功率为97.6%，纠纷涉及金额790余万元。其中村级调解1104件，乡镇调解148件，行业调解18件。矛盾纠纷在基层得到了有效的化解，没有出现民转刑命案和极端事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社会效益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全力推进依法治县工作，强化法治宣传、法治创建和基层法治德治相融互进，深入推进“法律七进”；依托市、县媒体中心整合传统媒体、新媒体、农村“村村响”优势打造全方位法治宣传格局；有效提升群众法律素养，让法治理念深入人心，提高了人民群众的法治意识，促进全面推进依法行政、法治政府建设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切实维护以农民工、妇女、儿童等弱势群体为主的特殊群体合法权益，化解社会矛盾纠纷，实现了社会公平正义，维护了社会和谐稳定。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2023年城步县司法局整体支出严格按照绩效目标要求，没有偏离绩效目标。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/>
          <w:sz w:val="32"/>
          <w:szCs w:val="32"/>
          <w:lang w:eastAsia="zh-CN"/>
        </w:rPr>
        <w:t>按照厉行节约原则，下一步将继续实行财务制度精细化管理，确保各项支出有据可循，杜绝超标准支出；积极做好“三公”经费预决算公开工作，提高“三公”经费透明度，主动接受广大群众监督。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3" w:name="_GoBack"/>
      <w:bookmarkEnd w:id="3"/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E2950"/>
    <w:multiLevelType w:val="singleLevel"/>
    <w:tmpl w:val="84FE29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FE7C5E1"/>
    <w:multiLevelType w:val="singleLevel"/>
    <w:tmpl w:val="9FE7C5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A4070CA"/>
    <w:multiLevelType w:val="singleLevel"/>
    <w:tmpl w:val="DA4070C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99C027F"/>
    <w:multiLevelType w:val="singleLevel"/>
    <w:tmpl w:val="199C027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ZhZDM3MDE5MTZjNWZlNjdjNzQzNWI5MzZlZDcifQ=="/>
    <w:docVar w:name="KSO_WPS_MARK_KEY" w:val="2cad2da4-8c74-4208-b950-09c4ddb6f378"/>
  </w:docVars>
  <w:rsids>
    <w:rsidRoot w:val="00000000"/>
    <w:rsid w:val="0514426B"/>
    <w:rsid w:val="0F7A2ADB"/>
    <w:rsid w:val="174E29A3"/>
    <w:rsid w:val="1EA33F65"/>
    <w:rsid w:val="20234AC9"/>
    <w:rsid w:val="269E5DD8"/>
    <w:rsid w:val="35555D8F"/>
    <w:rsid w:val="46132D66"/>
    <w:rsid w:val="4B72396B"/>
    <w:rsid w:val="551A7436"/>
    <w:rsid w:val="5E0A45F7"/>
    <w:rsid w:val="611C693E"/>
    <w:rsid w:val="6AB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892</Words>
  <Characters>944</Characters>
  <Lines>0</Lines>
  <Paragraphs>0</Paragraphs>
  <TotalTime>0</TotalTime>
  <ScaleCrop>false</ScaleCrop>
  <LinksUpToDate>false</LinksUpToDate>
  <CharactersWithSpaces>952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黎晶</cp:lastModifiedBy>
  <dcterms:modified xsi:type="dcterms:W3CDTF">2024-06-04T07:25:14Z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D1BA0F076F3F45F5A4EC113A94463AE6_12</vt:lpwstr>
  </property>
</Properties>
</file>