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统计局部门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城步苗族自治县统计局</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统计局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eastAsia="楷体_GB2312" w:cs="楷体_GB2312"/>
          <w:i w:val="0"/>
          <w:iCs w:val="0"/>
          <w:caps w:val="0"/>
          <w:color w:val="000000"/>
          <w:spacing w:val="0"/>
          <w:sz w:val="32"/>
          <w:szCs w:val="32"/>
          <w:shd w:val="clear" w:fill="FFFFFF"/>
          <w:lang w:val="en-US" w:eastAsia="zh-CN"/>
        </w:rPr>
        <w:t xml:space="preserve">   </w:t>
      </w:r>
      <w:bookmarkStart w:id="0" w:name="ORG_SET"/>
      <w:r>
        <w:rPr>
          <w:rFonts w:hint="eastAsia" w:ascii="仿宋_GB2312" w:hAnsi="仿宋_GB2312" w:eastAsia="仿宋_GB2312" w:cs="仿宋_GB2312"/>
          <w:color w:val="000000"/>
          <w:sz w:val="32"/>
          <w:szCs w:val="32"/>
          <w:shd w:val="clear" w:color="auto" w:fill="FFFFFF"/>
        </w:rPr>
        <w:t>根据编委核定，我局内设股室2个，所属二级单位1个，全部纳入本年部门预算编制范围。</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内设股室分别是综合办公室、综合统计股。</w:t>
      </w:r>
    </w:p>
    <w:p>
      <w:pPr>
        <w:spacing w:line="570" w:lineRule="atLeast"/>
        <w:ind w:firstLine="640" w:firstLineChars="200"/>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_GB2312" w:hAnsi="仿宋_GB2312" w:eastAsia="仿宋_GB2312" w:cs="仿宋_GB2312"/>
          <w:color w:val="000000"/>
          <w:sz w:val="32"/>
          <w:szCs w:val="32"/>
          <w:shd w:val="clear" w:color="auto" w:fill="FFFFFF"/>
        </w:rPr>
        <w:t>所属单位是农调队。</w:t>
      </w:r>
      <w:bookmarkEnd w:id="0"/>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根据编委核定，我局共有行政编制6个，事业编制7个，合计编制13个。实有人数13人。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（三）主要职能职责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1、贯彻执行国家统计工作的方针、政策和统计法律法规，研究统计制度和统计方法的改革，完成国家和地方统计调查任务；承担组织领导和协调全县统计工作，确保统计数据真实、准确、及时；监督检查统计法律法规的实施情况，查处各类统计违法行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制定并组织实施全县统计改革和统计现代化建设规划及统计调查计划，建立健全国民经济核算体系和统计指标体系，组织实施全县国民经济核算制度和全县投入产出调查，核算全县生产总值，汇编提供国民经济核算资料。　　　　　　　　　</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3、会同有关部门拟订重大普查计划与方案，组织实施全县人口、经济、农业等重大普查，汇总、整理和提供有关方面的统计数据。</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组织实施农林牧渔业、工业、建筑业、批发和零售业、住宿和餐饮业、房地产业、租赁和商务服务业、居民服务和其他服务业、文化体育和娱乐业以及装卸搬运和其他运输服务业、仓储业、计算机服务业、软件业、科技交流和推广服务业、社会福利业居民住户等统计调查，收集、汇总、整理和提供有关调查的统计数据，综合整理和提供地质勘查、旅游、交通运输、邮政、教育、卫生、社会保障、公用事业等全县性基本统计数据。</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组织实施能源、投资、消费、价格、收入、科技、人口、劳动力、社会发展基本情况、环境基本状况等统计调查，收集、汇总、整理和提供有关调查的统计数据，综合整理和提供资源、房屋、对外贸易、对外经济等全县性基本统计数据。</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组织各地区、各部门的经济、社会、科技和资源环境统计调查。统一核实、管理、公布全县性基本统计资料，定期发布全县国民经济和社会发展情况的统计信息。组织建立服务业统计信息管理制度、共享制度和发布制度。</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7、对国民经济、社会发展、科技进步和资源环境等情况进行统计分析、统计预测和统计监督，向县委、县政府及有关部门提供统计信息和咨询建议。</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8、指导专业统计基础工作、统计基层业务基础建设，建立健全统计数据质量审核、监控和评估制度，开展对重要统计数据的审核、监控和评估，依法监督管理涉外调查活动。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9、加强全县统计专业技术队伍建设，指导和管理统计专业技术人员继续教育工作，指导全县统计科研、统计教育、统计宣传工作。</w:t>
      </w:r>
    </w:p>
    <w:p>
      <w:pPr>
        <w:spacing w:line="570" w:lineRule="atLeast"/>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color w:val="000000"/>
          <w:sz w:val="32"/>
          <w:szCs w:val="32"/>
          <w:shd w:val="clear" w:color="auto" w:fill="FFFFFF"/>
        </w:rPr>
        <w:t>10、建立并管理全县统计信息自动化系统和统计数据库系统，组织制定全县各基层单位统计数据库和网络的基本标准和运行规则，指导全县统计信息化系统建设。</w:t>
      </w:r>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default" w:ascii="仿宋_GB2312" w:hAnsi="仿宋_GB2312" w:eastAsia="仿宋_GB2312" w:cs="仿宋_GB2312"/>
          <w:color w:val="000000"/>
          <w:kern w:val="2"/>
          <w:sz w:val="32"/>
          <w:szCs w:val="32"/>
          <w:shd w:val="clear" w:color="auto" w:fill="FFFFFF"/>
          <w:lang w:val="en-US" w:eastAsia="zh-CN" w:bidi="ar-SA"/>
        </w:rPr>
        <w:t>1、开展统计执法检查，提高统计数据质量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default" w:ascii="仿宋_GB2312" w:hAnsi="仿宋_GB2312" w:eastAsia="仿宋_GB2312" w:cs="仿宋_GB2312"/>
          <w:color w:val="000000"/>
          <w:kern w:val="2"/>
          <w:sz w:val="32"/>
          <w:szCs w:val="32"/>
          <w:shd w:val="clear" w:color="auto" w:fill="FFFFFF"/>
          <w:lang w:val="en-US" w:eastAsia="zh-CN" w:bidi="ar-SA"/>
        </w:rPr>
        <w:t>2、准确及时上报各专业统计报表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default" w:ascii="仿宋_GB2312" w:hAnsi="仿宋_GB2312" w:eastAsia="仿宋_GB2312" w:cs="仿宋_GB2312"/>
          <w:color w:val="000000"/>
          <w:kern w:val="2"/>
          <w:sz w:val="32"/>
          <w:szCs w:val="32"/>
          <w:shd w:val="clear" w:color="auto" w:fill="FFFFFF"/>
          <w:lang w:val="en-US" w:eastAsia="zh-CN" w:bidi="ar-SA"/>
        </w:rPr>
        <w:t>3、开展统计业务培训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default" w:ascii="仿宋_GB2312" w:hAnsi="仿宋_GB2312" w:eastAsia="仿宋_GB2312" w:cs="仿宋_GB2312"/>
          <w:color w:val="000000"/>
          <w:kern w:val="2"/>
          <w:sz w:val="32"/>
          <w:szCs w:val="32"/>
          <w:shd w:val="clear" w:color="auto" w:fill="FFFFFF"/>
          <w:lang w:val="en-US" w:eastAsia="zh-CN" w:bidi="ar-SA"/>
        </w:rPr>
        <w:t>4、搞好城乡居民样本轮换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384.03</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384.03</w:t>
      </w:r>
      <w:r>
        <w:rPr>
          <w:rFonts w:hint="default" w:ascii="Times New Roman" w:hAnsi="Times New Roman" w:eastAsia="仿宋_GB2312" w:cs="Times New Roman"/>
          <w:sz w:val="32"/>
          <w:szCs w:val="32"/>
          <w:lang w:eastAsia="zh-CN"/>
        </w:rPr>
        <w:t>万元；2023年年初预算安排支出</w:t>
      </w:r>
      <w:r>
        <w:rPr>
          <w:rFonts w:hint="eastAsia" w:cs="Times New Roman"/>
          <w:sz w:val="32"/>
          <w:szCs w:val="32"/>
          <w:lang w:val="en-US" w:eastAsia="zh-CN"/>
        </w:rPr>
        <w:t>384.03</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164.63</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219.4万</w:t>
      </w:r>
      <w:r>
        <w:rPr>
          <w:rFonts w:hint="default" w:ascii="Times New Roman" w:hAnsi="Times New Roman" w:eastAsia="仿宋_GB2312" w:cs="Times New Roman"/>
          <w:sz w:val="32"/>
          <w:szCs w:val="32"/>
          <w:lang w:eastAsia="zh-CN"/>
        </w:rPr>
        <w:t>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423.61</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39.58</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423.61</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275.07</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64.93</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148.54</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35.07</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部门预算追加了基本支出</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1.8</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1.8</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0.3</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0.3</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35</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25</w:t>
      </w:r>
      <w:r>
        <w:rPr>
          <w:rFonts w:hint="default" w:ascii="Times New Roman" w:hAnsi="Times New Roman" w:eastAsia="仿宋_GB2312" w:cs="Times New Roman"/>
          <w:sz w:val="32"/>
          <w:szCs w:val="32"/>
          <w:lang w:eastAsia="zh-CN"/>
        </w:rPr>
        <w:t>万元。</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黑体" w:hAnsi="黑体" w:eastAsia="黑体" w:cs="黑体"/>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rPr>
        <w:t>绩效目标完成情况：工作完成率、工作完成及时率、质量达标率都达到了100%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cs="Times New Roman"/>
          <w:color w:val="auto"/>
          <w:kern w:val="0"/>
          <w:sz w:val="32"/>
          <w:szCs w:val="32"/>
          <w:lang w:val="en-US" w:eastAsia="zh-CN" w:bidi="ar-SA"/>
        </w:rPr>
        <w:t>98</w:t>
      </w:r>
      <w:r>
        <w:rPr>
          <w:rFonts w:hint="eastAsia" w:ascii="Times New Roman" w:hAnsi="Times New Roman" w:eastAsia="仿宋_GB2312" w:cs="Times New Roman"/>
          <w:color w:val="auto"/>
          <w:kern w:val="0"/>
          <w:sz w:val="32"/>
          <w:szCs w:val="32"/>
          <w:lang w:val="en-US" w:eastAsia="zh-CN" w:bidi="ar-SA"/>
        </w:rPr>
        <w:t>分</w:t>
      </w:r>
      <w:r>
        <w:rPr>
          <w:rFonts w:hint="eastAsia" w:cs="Times New Roman"/>
          <w:color w:val="auto"/>
          <w:kern w:val="0"/>
          <w:sz w:val="32"/>
          <w:szCs w:val="32"/>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（二）评价指标分析（或综合评价情况）。</w:t>
      </w:r>
      <w:r>
        <w:rPr>
          <w:rFonts w:hint="eastAsia" w:ascii="仿宋" w:hAnsi="仿宋" w:eastAsia="仿宋"/>
          <w:sz w:val="32"/>
          <w:szCs w:val="32"/>
          <w:lang w:val="en-US" w:eastAsia="zh-CN"/>
        </w:rPr>
        <w:t>本</w:t>
      </w:r>
      <w:r>
        <w:rPr>
          <w:rFonts w:hint="eastAsia" w:ascii="仿宋" w:hAnsi="仿宋" w:eastAsia="仿宋"/>
          <w:sz w:val="32"/>
          <w:szCs w:val="32"/>
        </w:rPr>
        <w:t>单位在202</w:t>
      </w:r>
      <w:r>
        <w:rPr>
          <w:rFonts w:hint="eastAsia" w:ascii="仿宋" w:hAnsi="仿宋" w:eastAsia="仿宋"/>
          <w:sz w:val="32"/>
          <w:szCs w:val="32"/>
          <w:lang w:val="en-US" w:eastAsia="zh-CN"/>
        </w:rPr>
        <w:t>3</w:t>
      </w:r>
      <w:r>
        <w:rPr>
          <w:rFonts w:hint="eastAsia" w:ascii="仿宋" w:hAnsi="仿宋" w:eastAsia="仿宋"/>
          <w:sz w:val="32"/>
          <w:szCs w:val="32"/>
        </w:rPr>
        <w:t>年经费使用过程中加强管理，合理安排各项开支，精打细算，确保单位的正常运转，实现了收支平衡，年初设置目标绩效目标值100%完成</w:t>
      </w:r>
      <w:r>
        <w:rPr>
          <w:rFonts w:hint="eastAsia" w:ascii="仿宋" w:hAnsi="仿宋" w:eastAsia="仿宋"/>
          <w:sz w:val="32"/>
          <w:szCs w:val="32"/>
          <w:lang w:eastAsia="zh-CN"/>
        </w:rPr>
        <w:t>。</w:t>
      </w:r>
      <w:r>
        <w:rPr>
          <w:rFonts w:hint="eastAsia" w:ascii="仿宋" w:hAnsi="仿宋" w:eastAsia="仿宋"/>
          <w:bCs/>
          <w:sz w:val="32"/>
          <w:szCs w:val="32"/>
        </w:rPr>
        <w:t>1、人员经费保证了工作人员安心工作，全心全意服务社会、服务群众；2、办公设备的</w:t>
      </w:r>
      <w:r>
        <w:rPr>
          <w:rFonts w:hint="eastAsia" w:ascii="仿宋" w:hAnsi="仿宋" w:eastAsia="仿宋"/>
          <w:bCs/>
          <w:sz w:val="32"/>
          <w:szCs w:val="32"/>
          <w:lang w:val="en-US" w:eastAsia="zh-CN"/>
        </w:rPr>
        <w:t>不断</w:t>
      </w:r>
      <w:r>
        <w:rPr>
          <w:rFonts w:hint="eastAsia" w:ascii="仿宋" w:hAnsi="仿宋" w:eastAsia="仿宋"/>
          <w:bCs/>
          <w:sz w:val="32"/>
          <w:szCs w:val="32"/>
        </w:rPr>
        <w:t>完善大大提高了工作效率、也为工作人员提供了一个</w:t>
      </w:r>
      <w:r>
        <w:rPr>
          <w:rFonts w:hint="eastAsia" w:ascii="仿宋" w:hAnsi="仿宋" w:eastAsia="仿宋"/>
          <w:bCs/>
          <w:sz w:val="32"/>
          <w:szCs w:val="32"/>
          <w:lang w:val="en-US" w:eastAsia="zh-CN"/>
        </w:rPr>
        <w:t>舒适</w:t>
      </w:r>
      <w:r>
        <w:rPr>
          <w:rFonts w:hint="eastAsia" w:ascii="仿宋" w:hAnsi="仿宋" w:eastAsia="仿宋"/>
          <w:bCs/>
          <w:sz w:val="32"/>
          <w:szCs w:val="32"/>
        </w:rPr>
        <w:t>的</w:t>
      </w:r>
      <w:r>
        <w:rPr>
          <w:rFonts w:hint="eastAsia" w:ascii="仿宋" w:hAnsi="仿宋" w:eastAsia="仿宋"/>
          <w:bCs/>
          <w:sz w:val="32"/>
          <w:szCs w:val="32"/>
          <w:lang w:val="en-US" w:eastAsia="zh-CN"/>
        </w:rPr>
        <w:t>办公</w:t>
      </w:r>
      <w:r>
        <w:rPr>
          <w:rFonts w:hint="eastAsia" w:ascii="仿宋" w:hAnsi="仿宋" w:eastAsia="仿宋"/>
          <w:bCs/>
          <w:sz w:val="32"/>
          <w:szCs w:val="32"/>
        </w:rPr>
        <w:t>环境。3、办公费用保证了单位的正常运转。4、“三公”经费</w:t>
      </w:r>
      <w:r>
        <w:rPr>
          <w:rFonts w:hint="eastAsia" w:ascii="仿宋" w:hAnsi="仿宋" w:eastAsia="仿宋"/>
          <w:bCs/>
          <w:sz w:val="32"/>
          <w:szCs w:val="32"/>
          <w:lang w:val="en-US" w:eastAsia="zh-CN"/>
        </w:rPr>
        <w:t>严格按照中央和省政府关于党政机关厉行节约反对浪费的规定执行</w:t>
      </w:r>
      <w:r>
        <w:rPr>
          <w:rFonts w:hint="eastAsia" w:ascii="仿宋" w:hAnsi="仿宋" w:eastAsia="仿宋"/>
          <w:bCs/>
          <w:sz w:val="32"/>
          <w:szCs w:val="32"/>
        </w:rPr>
        <w:t>。</w:t>
      </w: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r>
        <w:rPr>
          <w:rFonts w:hint="eastAsia" w:ascii="黑体" w:hAnsi="黑体" w:eastAsia="黑体" w:cs="黑体"/>
          <w:i w:val="0"/>
          <w:iCs w:val="0"/>
          <w:caps w:val="0"/>
          <w:color w:val="000000"/>
          <w:spacing w:val="0"/>
          <w:sz w:val="32"/>
          <w:szCs w:val="32"/>
          <w:shd w:val="clear" w:fill="FFFFFF"/>
        </w:rPr>
        <w:t>七、存在的问题及原因分析</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_GB2312" w:cs="仿宋_GB2312"/>
          <w:i w:val="0"/>
          <w:iCs w:val="0"/>
          <w:caps w:val="0"/>
          <w:color w:val="000000"/>
          <w:spacing w:val="0"/>
          <w:sz w:val="32"/>
          <w:szCs w:val="32"/>
          <w:shd w:val="clear" w:fill="FFFFFF"/>
          <w:lang w:eastAsia="zh-CN"/>
        </w:rPr>
      </w:pPr>
      <w:r>
        <w:rPr>
          <w:rFonts w:hint="eastAsia" w:ascii="仿宋_GB2312" w:cs="仿宋_GB2312"/>
          <w:i w:val="0"/>
          <w:iCs w:val="0"/>
          <w:caps w:val="0"/>
          <w:color w:val="000000"/>
          <w:spacing w:val="0"/>
          <w:sz w:val="32"/>
          <w:szCs w:val="32"/>
          <w:shd w:val="clear" w:fill="FFFFFF"/>
          <w:lang w:eastAsia="zh-CN"/>
        </w:rPr>
        <w:t>财政经费紧张，经费只能保证单位正常运转</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firstLine="643" w:firstLineChars="200"/>
        <w:jc w:val="left"/>
        <w:rPr>
          <w:rFonts w:hint="eastAsia" w:ascii="微软雅黑" w:hAnsi="微软雅黑" w:eastAsia="微软雅黑" w:cs="微软雅黑"/>
          <w:i w:val="0"/>
          <w:iCs w:val="0"/>
          <w:caps w:val="0"/>
          <w:color w:val="444444"/>
          <w:spacing w:val="0"/>
          <w:sz w:val="19"/>
          <w:szCs w:val="19"/>
        </w:rPr>
      </w:pPr>
      <w:r>
        <w:rPr>
          <w:rFonts w:ascii="楷体" w:hAnsi="楷体" w:eastAsia="楷体" w:cs="楷体"/>
          <w:b/>
          <w:bCs/>
          <w:i w:val="0"/>
          <w:iCs w:val="0"/>
          <w:caps w:val="0"/>
          <w:color w:val="000000"/>
          <w:spacing w:val="0"/>
          <w:kern w:val="0"/>
          <w:sz w:val="32"/>
          <w:szCs w:val="32"/>
          <w:shd w:val="clear" w:color="auto" w:fill="FFFFFF"/>
          <w:lang w:val="en-US" w:eastAsia="zh-CN" w:bidi="ar"/>
        </w:rPr>
        <w:t>（一）增强绩效意识、科学设置绩效目标。</w:t>
      </w:r>
      <w:r>
        <w:rPr>
          <w:rFonts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微软雅黑" w:hAnsi="微软雅黑" w:eastAsia="微软雅黑" w:cs="微软雅黑"/>
          <w:i w:val="0"/>
          <w:iCs w:val="0"/>
          <w:caps w:val="0"/>
          <w:color w:val="444444"/>
          <w:spacing w:val="0"/>
          <w:sz w:val="19"/>
          <w:szCs w:val="19"/>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黑体" w:hAnsi="黑体" w:eastAsia="黑体" w:cs="黑体"/>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Calibri" w:hAnsi="Calibri" w:eastAsia="仿宋_GB2312" w:cs="Calibri"/>
          <w:i w:val="0"/>
          <w:iCs w:val="0"/>
          <w:caps w:val="0"/>
          <w:color w:val="000000"/>
          <w:spacing w:val="0"/>
          <w:sz w:val="24"/>
          <w:szCs w:val="24"/>
          <w:lang w:val="en-US" w:eastAsia="zh-CN"/>
        </w:rPr>
      </w:pPr>
      <w:r>
        <w:rPr>
          <w:rFonts w:hint="eastAsia" w:ascii="Calibri" w:hAnsi="Calibri" w:cs="Calibri"/>
          <w:i w:val="0"/>
          <w:iCs w:val="0"/>
          <w:caps w:val="0"/>
          <w:color w:val="000000"/>
          <w:spacing w:val="0"/>
          <w:sz w:val="24"/>
          <w:szCs w:val="24"/>
          <w:lang w:val="en-US" w:eastAsia="zh-CN"/>
        </w:rPr>
        <w:t>无</w:t>
      </w:r>
      <w:bookmarkStart w:id="2" w:name="_GoBack"/>
      <w:bookmarkEnd w:id="2"/>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27EF4"/>
    <w:multiLevelType w:val="singleLevel"/>
    <w:tmpl w:val="07527EF4"/>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ZGRmYmExMGRjYjUzZWQyMWVkYTlmZWNhOWZlOGIifQ=="/>
    <w:docVar w:name="KSO_WPS_MARK_KEY" w:val="2cad2da4-8c74-4208-b950-09c4ddb6f378"/>
  </w:docVars>
  <w:rsids>
    <w:rsidRoot w:val="00000000"/>
    <w:rsid w:val="1AB23392"/>
    <w:rsid w:val="1EA33F65"/>
    <w:rsid w:val="22EF2656"/>
    <w:rsid w:val="263C44E8"/>
    <w:rsid w:val="269E5DD8"/>
    <w:rsid w:val="3D127880"/>
    <w:rsid w:val="4B72396B"/>
    <w:rsid w:val="4C127063"/>
    <w:rsid w:val="4E0A4E07"/>
    <w:rsid w:val="572A3FDD"/>
    <w:rsid w:val="5FFD5158"/>
    <w:rsid w:val="603D09BD"/>
    <w:rsid w:val="7C1C4F94"/>
    <w:rsid w:val="7EAF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2370</Words>
  <Characters>2482</Characters>
  <Lines>0</Lines>
  <Paragraphs>0</Paragraphs>
  <TotalTime>0</TotalTime>
  <ScaleCrop>false</ScaleCrop>
  <LinksUpToDate>false</LinksUpToDate>
  <CharactersWithSpaces>2501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2024-06-04T12:53:49Z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D1BA0F076F3F45F5A4EC113A94463AE6_12</vt:lpwstr>
  </property>
</Properties>
</file>