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水运事务中心部门</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jc w:val="center"/>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val="en-US" w:eastAsia="zh-CN"/>
        </w:rPr>
        <w:t>城步苗族自治县水运事务中心</w:t>
      </w:r>
    </w:p>
    <w:p>
      <w:pPr>
        <w:spacing w:line="600" w:lineRule="exact"/>
        <w:jc w:val="center"/>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
    <w:p/>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3</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水运事务中心</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44"/>
          <w:szCs w:val="44"/>
          <w:shd w:val="clear" w:fill="FFFFFF"/>
        </w:rPr>
        <w:t>自评报告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jc w:val="both"/>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一、</w:t>
      </w:r>
      <w:r>
        <w:rPr>
          <w:rFonts w:hint="eastAsia" w:ascii="黑体" w:hAnsi="黑体" w:eastAsia="黑体" w:cs="黑体"/>
          <w:i w:val="0"/>
          <w:iCs w:val="0"/>
          <w:caps w:val="0"/>
          <w:color w:val="000000"/>
          <w:spacing w:val="0"/>
          <w:sz w:val="32"/>
          <w:szCs w:val="32"/>
          <w:shd w:val="clear" w:fill="FFFFFF"/>
        </w:rPr>
        <w:t>部门、单位基本情况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jc w:val="both"/>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县水运事务中心设下列内设机构： </w:t>
      </w:r>
    </w:p>
    <w:p>
      <w:pPr>
        <w:keepNext w:val="0"/>
        <w:keepLines w:val="0"/>
        <w:widowControl/>
        <w:suppressLineNumbers w:val="0"/>
        <w:ind w:firstLine="640" w:firstLineChars="200"/>
        <w:jc w:val="both"/>
      </w:pP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（一）综合股。</w:t>
      </w:r>
      <w:r>
        <w:rPr>
          <w:rFonts w:ascii="仿宋_GB2312" w:hAnsi="仿宋_GB2312" w:eastAsia="仿宋_GB2312" w:cs="仿宋_GB2312"/>
          <w:color w:val="000000"/>
          <w:kern w:val="0"/>
          <w:sz w:val="32"/>
          <w:szCs w:val="32"/>
          <w:lang w:val="en-US" w:eastAsia="zh-CN" w:bidi="ar"/>
        </w:rPr>
        <w:t xml:space="preserve">协调中心日常工作，负责中心重大事项和决定的督办；负责办公设施管理和办公用品配置、公务接待工作；负责办公场所及固定资产安全、消防、内保和后勤工作；负责办公场所建设计划编报并组织实施；负责水运行业政策法规宣传和普法教育工作；负责中心法律事务性工作；负责财务预算编制、日常财务核算、经费收支及统计上报各类财务报表；负责内部审计监管；负责机构编制、干部人事、劳动工资、年度考核、社会保险、党建等工作；制定职工教育培训规划并组织实施；负责离退休干部职工的管理服务工作。 </w:t>
      </w:r>
    </w:p>
    <w:p>
      <w:pPr>
        <w:keepNext w:val="0"/>
        <w:keepLines w:val="0"/>
        <w:widowControl/>
        <w:suppressLineNumbers w:val="0"/>
        <w:ind w:firstLine="640" w:firstLineChars="200"/>
        <w:jc w:val="both"/>
      </w:pP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（二）业务股。</w:t>
      </w:r>
      <w:r>
        <w:rPr>
          <w:rFonts w:ascii="仿宋_GB2312" w:hAnsi="仿宋_GB2312" w:eastAsia="仿宋_GB2312" w:cs="仿宋_GB2312"/>
          <w:color w:val="000000"/>
          <w:kern w:val="0"/>
          <w:sz w:val="32"/>
          <w:szCs w:val="32"/>
          <w:lang w:val="en-US" w:eastAsia="zh-CN" w:bidi="ar"/>
        </w:rPr>
        <w:t xml:space="preserve">参与拟订全县水路交通运输发展规划，协助编制港口、航道、水路运输等专项规划；承担开展水路交通项目技术审查及县管项目前期工作及后评估相关事务性工作；承担指导实施主体推进规划实施相关事务性工作；参与拟订水路交通年度建议计划的汇总、初审事务性工作，并承担组织实施、执行情况督查、评估等事务性工作；负责水路交通运输行业统计信息和国防动员潜力调查统计工作；参与指导中、小型水路交通基础设施建设工程相关事务性工作；承担水运行业军民融合相关工作；承担水上交通安全监督指导的事务性工作；承担水上交通通航秩序、通航环境管理的业务指导事务性工作；承担水上交通搜寻救助、沉船沉物打捞、障碍物清除等的技术支撑和业务指导事务性工作；参与调查处理水上交通和船舶污染事故及统计分析相关工作；承担防治船舶及其作业污染水域监管指导的事务性工作；承担船舶和船员管理的相关事务性工作；承担船员、安检员等考试、发证管理事务性工作；承担船舶、船员信用体系建设相关工作；承担船舶（含渔船）、水上设施船用产品检验及检验监督管理和船舶适航管理的事务性工作；负责船舶公正检验；负责船舶检验数据统计等工作。 </w:t>
      </w:r>
    </w:p>
    <w:p>
      <w:pPr>
        <w:keepNext w:val="0"/>
        <w:keepLines w:val="0"/>
        <w:widowControl/>
        <w:suppressLineNumbers w:val="0"/>
        <w:ind w:firstLine="640" w:firstLineChars="200"/>
        <w:jc w:val="both"/>
        <w:rPr>
          <w:rFonts w:hint="default" w:ascii="楷体_GB2312" w:eastAsia="楷体_GB2312" w:cs="楷体_GB2312"/>
          <w:i w:val="0"/>
          <w:iCs w:val="0"/>
          <w:caps w:val="0"/>
          <w:color w:val="000000"/>
          <w:spacing w:val="0"/>
          <w:sz w:val="32"/>
          <w:szCs w:val="32"/>
          <w:shd w:val="clear" w:fill="FFFFFF"/>
        </w:rPr>
      </w:pP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（三）监控事务股。</w:t>
      </w:r>
      <w:r>
        <w:rPr>
          <w:rFonts w:ascii="仿宋_GB2312" w:hAnsi="仿宋_GB2312" w:eastAsia="仿宋_GB2312" w:cs="仿宋_GB2312"/>
          <w:color w:val="000000"/>
          <w:kern w:val="0"/>
          <w:sz w:val="32"/>
          <w:szCs w:val="32"/>
          <w:lang w:val="en-US" w:eastAsia="zh-CN" w:bidi="ar"/>
        </w:rPr>
        <w:t xml:space="preserve">负责应用监控系统对辖区内水上交通安全进行全天 24 小时值班监控，对发现的违法违规行为、安全隐患、重大隐情及水上交通事故及时报告，妥善处置事务性工作；负责辖区内监控记录数据的归类统计、整理、上报、存档等工作；负责接受辖区内航道、水文、天气等信息，并及时告知各相关单位或人员。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（二）人员编制情况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jc w:val="both"/>
        <w:textAlignment w:val="auto"/>
        <w:rPr>
          <w:rFonts w:hint="default" w:ascii="楷体_GB2312" w:eastAsia="仿宋"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 w:hAnsi="仿宋" w:eastAsia="仿宋"/>
          <w:sz w:val="32"/>
          <w:szCs w:val="32"/>
        </w:rPr>
        <w:t>县水运事务中心核定事业编制5名。核定主任</w:t>
      </w:r>
      <w:r>
        <w:rPr>
          <w:rFonts w:ascii="仿宋" w:hAnsi="仿宋" w:eastAsia="仿宋"/>
          <w:sz w:val="32"/>
          <w:szCs w:val="32"/>
        </w:rPr>
        <w:t>1</w:t>
      </w:r>
      <w:r>
        <w:rPr>
          <w:rFonts w:hint="eastAsia" w:ascii="仿宋" w:hAnsi="仿宋" w:eastAsia="仿宋"/>
          <w:sz w:val="32"/>
          <w:szCs w:val="32"/>
        </w:rPr>
        <w:t>名、副主任1名。</w:t>
      </w:r>
      <w:r>
        <w:rPr>
          <w:rFonts w:hint="eastAsia" w:ascii="仿宋" w:hAnsi="仿宋" w:eastAsia="仿宋"/>
          <w:sz w:val="32"/>
          <w:szCs w:val="32"/>
          <w:lang w:val="en-US" w:eastAsia="zh-CN"/>
        </w:rPr>
        <w:t>现有工作人员4人。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（三）主要职能职责</w:t>
      </w:r>
    </w:p>
    <w:p>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城步苗族自治县水运事务中心的主要职责是： </w:t>
      </w:r>
    </w:p>
    <w:p>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县水运事务中心贯彻落实党中央关于水路交通运输工作的方针政策和决策部署，全面落实省委、市委和县委关于水路交通运输工作的部署要求，在履行职责过程中坚持和加强党对水路交通运输工作的集中统一领导。其主要职责是： </w:t>
      </w:r>
    </w:p>
    <w:p>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一）参与编制水路交通运输发展规划相关事务性工作；协助做好编制港口、航道、水路运输等专项规划相关事务性工作；协助开展水路交通项目技术审查及市管项目前期工作及后评估的事务性工作；负责指导实施主体推进规划实施。 </w:t>
      </w:r>
    </w:p>
    <w:p>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二）参与全县水路交通运输年度建设计划及航道养护计划汇总、审核相关事务性工作；承担组织实施、执行情况督查、评估等相关事务性工作；参与组织实施权限内的水运基础设施建设工程，并协助指导水路交通基础设施建设工程；负责水路交通运输行业统计信息工作。 </w:t>
      </w:r>
    </w:p>
    <w:p>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三）负责指导水路交通运输行业安全生产监督和应急处置的相关事务性工作；承担防治船舶、港口及其作业污染水域监管的事务性工作；承担水上交通通航秩序、通航环境管理的业务指导工作；按规定承担水上水下施工作业(含使用岸线)碍航性审核和监督检查的事务性工作；承担水上交通搜寻救助、沉船沉物打捞等的技术支撑和业务指导工作；按规定参与调查处理水上交通和船舶、港口污染事故及统计分析相关工作；负责市区水上交通安全监督的事务性工作；负责对全县重要水域、重点船舶进行视频监控；负责收集、整理和及时处理水上交通安全动态信息；负责水上突发事件预警信息的评估和报告，做好相关情况的报送、请示和传达工作。 </w:t>
      </w:r>
    </w:p>
    <w:p>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（四）承担船舶和船员管理的事务性工作。负责权限内船员的考试、发证和管理的事务性工作。 </w:t>
      </w:r>
    </w:p>
    <w:p>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（五）按规定权限承担船舶（含渔船）、水上设施、船用产品检验的相关事务性工作；承担权限内的船舶技术文件和图纸审查的事务性工作；参与水上事故相关船舶技术分析和调查。 </w:t>
      </w:r>
    </w:p>
    <w:p>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（六）承担水路运输及运输服务市场、港口装卸搬运市场行业管理相关事务性工作；承担推进水路运输结构调整和港航物流发展等事务性工作；承担港口及岸线管理相关事务性工作。 </w:t>
      </w:r>
    </w:p>
    <w:p>
      <w:pPr>
        <w:keepNext w:val="0"/>
        <w:keepLines w:val="0"/>
        <w:widowControl/>
        <w:suppressLineNumbers w:val="0"/>
        <w:ind w:firstLine="640" w:firstLineChars="200"/>
        <w:jc w:val="both"/>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（七）负责全县航道行业管理的事务性工作；负责管理维护所辖航道；按规定负责航道通航条件影响评价审核的初审事务性工作；参与协调水资源综合利用事务性工作。</w:t>
      </w:r>
    </w:p>
    <w:p>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（八）负责指导推进水路交通运输科技创新、推广应用和节能减排等事务性工作；承担推进水路运输行业绿色发展、军民融合的事务性工作。 </w:t>
      </w:r>
    </w:p>
    <w:p>
      <w:pPr>
        <w:keepNext w:val="0"/>
        <w:keepLines w:val="0"/>
        <w:widowControl/>
        <w:suppressLineNumbers w:val="0"/>
        <w:ind w:firstLine="640" w:firstLineChars="200"/>
        <w:jc w:val="both"/>
        <w:rPr>
          <w:rFonts w:hint="default" w:ascii="楷体_GB2312" w:eastAsia="楷体_GB2312" w:cs="楷体_GB2312"/>
          <w:i w:val="0"/>
          <w:iCs w:val="0"/>
          <w:caps w:val="0"/>
          <w:color w:val="000000"/>
          <w:spacing w:val="0"/>
          <w:sz w:val="32"/>
          <w:szCs w:val="32"/>
          <w:shd w:val="clear" w:fill="FFFFFF"/>
        </w:rPr>
      </w:pPr>
      <w:r>
        <w:rPr>
          <w:rFonts w:ascii="仿宋_GB2312" w:hAnsi="仿宋_GB2312" w:eastAsia="仿宋_GB2312" w:cs="仿宋_GB2312"/>
          <w:color w:val="000000"/>
          <w:kern w:val="0"/>
          <w:sz w:val="32"/>
          <w:szCs w:val="32"/>
          <w:lang w:val="en-US" w:eastAsia="zh-CN" w:bidi="ar"/>
        </w:rPr>
        <w:t xml:space="preserve">（九）承担县交通运输局交办的其他工作。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（四）绩效目标设定情况</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5"/>
        <w:widowControl/>
        <w:spacing w:line="600" w:lineRule="exact"/>
        <w:ind w:left="640" w:firstLine="0" w:firstLineChars="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2023年年初预算安排收入</w:t>
      </w:r>
      <w:r>
        <w:rPr>
          <w:rFonts w:hint="eastAsia" w:cs="Times New Roman"/>
          <w:sz w:val="32"/>
          <w:szCs w:val="32"/>
          <w:lang w:val="en-US" w:eastAsia="zh-CN"/>
        </w:rPr>
        <w:t>83.25</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83.25</w:t>
      </w:r>
      <w:r>
        <w:rPr>
          <w:rFonts w:hint="default" w:ascii="Times New Roman" w:hAnsi="Times New Roman" w:eastAsia="仿宋_GB2312" w:cs="Times New Roman"/>
          <w:sz w:val="32"/>
          <w:szCs w:val="32"/>
          <w:lang w:eastAsia="zh-CN"/>
        </w:rPr>
        <w:t>万元；2023年年初预算安排支出</w:t>
      </w:r>
      <w:r>
        <w:rPr>
          <w:rFonts w:hint="eastAsia" w:cs="Times New Roman"/>
          <w:sz w:val="32"/>
          <w:szCs w:val="32"/>
          <w:lang w:val="en-US" w:eastAsia="zh-CN"/>
        </w:rPr>
        <w:t>83.25</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56.41</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26.84</w:t>
      </w:r>
      <w:r>
        <w:rPr>
          <w:rFonts w:hint="default" w:ascii="Times New Roman" w:hAnsi="Times New Roman" w:eastAsia="仿宋_GB2312" w:cs="Times New Roman"/>
          <w:sz w:val="32"/>
          <w:szCs w:val="32"/>
          <w:lang w:eastAsia="zh-CN"/>
        </w:rPr>
        <w:t>万元。</w:t>
      </w:r>
    </w:p>
    <w:p>
      <w:pPr>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2023年决算总收入</w:t>
      </w:r>
      <w:r>
        <w:rPr>
          <w:rFonts w:hint="eastAsia" w:cs="Times New Roman"/>
          <w:sz w:val="32"/>
          <w:szCs w:val="32"/>
          <w:lang w:val="en-US" w:eastAsia="zh-CN"/>
        </w:rPr>
        <w:t>121.54</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38.29</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121.54</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93.25</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76.72</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28.29</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23.28</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val="en-US" w:eastAsia="zh-CN"/>
        </w:rPr>
        <w:t>人员经费增加</w:t>
      </w:r>
      <w:r>
        <w:rPr>
          <w:rFonts w:hint="default" w:ascii="Times New Roman" w:hAnsi="Times New Roman" w:eastAsia="仿宋_GB2312" w:cs="Times New Roman"/>
          <w:sz w:val="32"/>
          <w:szCs w:val="32"/>
          <w:lang w:eastAsia="zh-CN"/>
        </w:rPr>
        <w:t>。</w:t>
      </w:r>
    </w:p>
    <w:p>
      <w:pPr>
        <w:spacing w:line="600" w:lineRule="exact"/>
        <w:ind w:firstLine="640" w:firstLineChars="200"/>
        <w:jc w:val="both"/>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jc w:val="both"/>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0.5</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0.5</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0.3万</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0.3</w:t>
      </w:r>
      <w:r>
        <w:rPr>
          <w:rFonts w:hint="default" w:ascii="Times New Roman" w:hAnsi="Times New Roman" w:eastAsia="仿宋_GB2312" w:cs="Times New Roman"/>
          <w:sz w:val="32"/>
          <w:szCs w:val="32"/>
          <w:lang w:eastAsia="zh-CN"/>
        </w:rPr>
        <w:t>万元。</w:t>
      </w:r>
    </w:p>
    <w:p>
      <w:pPr>
        <w:spacing w:line="600" w:lineRule="exact"/>
        <w:ind w:firstLine="640" w:firstLineChars="200"/>
        <w:jc w:val="both"/>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jc w:val="both"/>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2023年度政府采购支出</w:t>
      </w:r>
      <w:r>
        <w:rPr>
          <w:rFonts w:hint="eastAsia" w:cs="Times New Roman"/>
          <w:sz w:val="32"/>
          <w:szCs w:val="32"/>
          <w:lang w:val="en-US" w:eastAsia="zh-CN"/>
        </w:rPr>
        <w:t>4.8</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4.8</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jc w:val="both"/>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 xml:space="preserve">    三、</w:t>
      </w:r>
      <w:r>
        <w:rPr>
          <w:rFonts w:hint="eastAsia" w:ascii="黑体" w:hAnsi="黑体" w:eastAsia="黑体" w:cs="黑体"/>
          <w:i w:val="0"/>
          <w:iCs w:val="0"/>
          <w:caps w:val="0"/>
          <w:color w:val="000000"/>
          <w:spacing w:val="0"/>
          <w:sz w:val="32"/>
          <w:szCs w:val="32"/>
          <w:shd w:val="clear" w:fill="FFFFFF"/>
        </w:rPr>
        <w:t>政府性基金预算支出情况</w:t>
      </w:r>
    </w:p>
    <w:p>
      <w:pPr>
        <w:pStyle w:val="5"/>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r>
        <w:rPr>
          <w:rFonts w:hint="eastAsia" w:ascii="Times New Roman" w:hAnsi="Times New Roman" w:eastAsia="仿宋_GB2312" w:cs="Times New Roman"/>
          <w:color w:val="auto"/>
          <w:kern w:val="0"/>
          <w:sz w:val="32"/>
          <w:szCs w:val="32"/>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jc w:val="both"/>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四、</w:t>
      </w:r>
      <w:r>
        <w:rPr>
          <w:rFonts w:hint="eastAsia" w:ascii="黑体" w:hAnsi="黑体" w:eastAsia="黑体" w:cs="黑体"/>
          <w:i w:val="0"/>
          <w:iCs w:val="0"/>
          <w:caps w:val="0"/>
          <w:color w:val="000000"/>
          <w:spacing w:val="0"/>
          <w:sz w:val="32"/>
          <w:szCs w:val="32"/>
          <w:shd w:val="clear" w:fill="FFFFFF"/>
        </w:rPr>
        <w:t>国有资本经营预算支出情况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jc w:val="both"/>
        <w:textAlignment w:val="auto"/>
        <w:rPr>
          <w:rFonts w:hint="eastAsia" w:cs="Times New Roman"/>
          <w:color w:val="auto"/>
          <w:kern w:val="0"/>
          <w:sz w:val="32"/>
          <w:szCs w:val="32"/>
          <w:lang w:val="en-US" w:eastAsia="zh-CN" w:bidi="ar-SA"/>
        </w:rPr>
      </w:pPr>
      <w:r>
        <w:rPr>
          <w:rFonts w:hint="eastAsia" w:cs="Times New Roman"/>
          <w:color w:val="auto"/>
          <w:kern w:val="0"/>
          <w:sz w:val="32"/>
          <w:szCs w:val="32"/>
          <w:lang w:val="en-US" w:eastAsia="zh-CN" w:bidi="ar-SA"/>
        </w:rPr>
        <w:t>无</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jc w:val="both"/>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五、</w:t>
      </w:r>
      <w:r>
        <w:rPr>
          <w:rFonts w:hint="eastAsia" w:ascii="黑体" w:hAnsi="黑体" w:eastAsia="黑体" w:cs="黑体"/>
          <w:i w:val="0"/>
          <w:iCs w:val="0"/>
          <w:caps w:val="0"/>
          <w:color w:val="000000"/>
          <w:spacing w:val="0"/>
          <w:sz w:val="32"/>
          <w:szCs w:val="32"/>
          <w:shd w:val="clear" w:fill="FFFFFF"/>
        </w:rPr>
        <w:t>社会保险基金预算支出情况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cs="Times New Roman"/>
          <w:color w:val="auto"/>
          <w:kern w:val="0"/>
          <w:sz w:val="32"/>
          <w:szCs w:val="32"/>
          <w:lang w:val="en-US" w:eastAsia="zh-CN" w:bidi="ar-SA"/>
        </w:rPr>
      </w:pPr>
      <w:r>
        <w:rPr>
          <w:rFonts w:hint="eastAsia" w:cs="Times New Roman"/>
          <w:color w:val="auto"/>
          <w:kern w:val="0"/>
          <w:sz w:val="32"/>
          <w:szCs w:val="32"/>
          <w:lang w:val="en-US" w:eastAsia="zh-CN" w:bidi="ar-SA"/>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楷体_GB2312" w:eastAsia="仿宋_GB2312" w:cs="楷体_GB2312"/>
          <w:i w:val="0"/>
          <w:iCs w:val="0"/>
          <w:caps w:val="0"/>
          <w:color w:val="000000"/>
          <w:spacing w:val="0"/>
          <w:sz w:val="32"/>
          <w:szCs w:val="32"/>
          <w:lang w:val="en-US" w:eastAsia="zh-CN"/>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自评得分</w:t>
      </w:r>
      <w:r>
        <w:rPr>
          <w:rFonts w:hint="eastAsia" w:ascii="仿宋_GB2312" w:cs="仿宋_GB2312"/>
          <w:i w:val="0"/>
          <w:iCs w:val="0"/>
          <w:caps w:val="0"/>
          <w:color w:val="000000"/>
          <w:spacing w:val="0"/>
          <w:sz w:val="32"/>
          <w:szCs w:val="32"/>
          <w:shd w:val="clear" w:fill="FFFFFF"/>
          <w:lang w:val="en-US" w:eastAsia="zh-CN"/>
        </w:rPr>
        <w:t>为98分。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 w:eastAsia="仿宋_GB2312"/>
          <w:sz w:val="32"/>
          <w:szCs w:val="32"/>
          <w:lang w:eastAsia="zh-CN"/>
        </w:rPr>
      </w:pPr>
      <w:r>
        <w:rPr>
          <w:rFonts w:hint="default" w:ascii="楷体_GB2312" w:eastAsia="楷体_GB2312" w:cs="楷体_GB2312"/>
          <w:i w:val="0"/>
          <w:iCs w:val="0"/>
          <w:caps w:val="0"/>
          <w:color w:val="000000"/>
          <w:spacing w:val="0"/>
          <w:sz w:val="32"/>
          <w:szCs w:val="32"/>
          <w:shd w:val="clear" w:fill="FFFFFF"/>
        </w:rPr>
        <w:t>（二）评价指标分析（或综合评价情况）。</w:t>
      </w:r>
      <w:r>
        <w:rPr>
          <w:rFonts w:hint="eastAsia" w:ascii="仿宋_GB2312" w:hAnsi="仿宋" w:eastAsia="仿宋_GB2312"/>
          <w:sz w:val="32"/>
          <w:szCs w:val="32"/>
          <w:lang w:eastAsia="zh-CN"/>
        </w:rPr>
        <w:t>1、加大安全监管力度，杜绝发生重特大恶性水上交通事故，确保我县水上交通安全稳定、旅游事业健康发展。2、突出“重点水域、重点渡口、重点船舶、重点时段”的安全监控，扎实开展“春运”、“五一”、 “十一”等期间水上交通安全监管和“打非治违”专项工作，强化现场监督管理，落实安全管理责任，认真做好各项业务管理工作。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水运事务中心管理人员力量薄弱、均身兼多职致工作效率和质量不高</w:t>
      </w:r>
      <w:r>
        <w:rPr>
          <w:rFonts w:hint="eastAsia" w:ascii="仿宋_GB2312" w:cs="仿宋_GB2312"/>
          <w:i w:val="0"/>
          <w:iCs w:val="0"/>
          <w:caps w:val="0"/>
          <w:color w:val="000000"/>
          <w:spacing w:val="0"/>
          <w:kern w:val="0"/>
          <w:sz w:val="32"/>
          <w:szCs w:val="32"/>
          <w:shd w:val="clear" w:fill="FFFFFF"/>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在今后的工作中，我们将加强预算配置的精确性和预算管理意识，健全和完善财务管理体系，节约开支，为县域经济社会发展稳定和谐作出积极贡献。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九、其他需要说明的情况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default" w:ascii="Times New Roman" w:hAnsi="Times New Roman" w:cs="Times New Roman"/>
          <w:i w:val="0"/>
          <w:iCs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b/>
          <w:bCs/>
          <w:sz w:val="30"/>
          <w:szCs w:val="30"/>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3、项目支出绩效自评表（每个项目支出一张表！）</w:t>
      </w:r>
      <w:bookmarkStart w:id="0" w:name="_GoBack"/>
      <w:bookmarkEnd w:id="0"/>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ZDMzNDkxN2ZmMDFlODUxNDA5ZTc3YTczYmZlYTAifQ=="/>
    <w:docVar w:name="KSO_WPS_MARK_KEY" w:val="2cad2da4-8c74-4208-b950-09c4ddb6f378"/>
  </w:docVars>
  <w:rsids>
    <w:rsidRoot w:val="00000000"/>
    <w:rsid w:val="0BC00822"/>
    <w:rsid w:val="1EA33F65"/>
    <w:rsid w:val="269E5DD8"/>
    <w:rsid w:val="2B226EBA"/>
    <w:rsid w:val="2F5D7649"/>
    <w:rsid w:val="30442927"/>
    <w:rsid w:val="3FF11ADA"/>
    <w:rsid w:val="4B72396B"/>
    <w:rsid w:val="58786100"/>
    <w:rsid w:val="5F6A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2816</Words>
  <Characters>2912</Characters>
  <Lines>0</Lines>
  <Paragraphs>0</Paragraphs>
  <TotalTime>24</TotalTime>
  <ScaleCrop>false</ScaleCrop>
  <LinksUpToDate>false</LinksUpToDate>
  <CharactersWithSpaces>2941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cp:lastModifiedBy>
  <dcterms:modified xsi:type="dcterms:W3CDTF">2024-06-04T08:06:09Z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D1BA0F076F3F45F5A4EC113A94463AE6_12</vt:lpwstr>
  </property>
</Properties>
</file>