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FBA0D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附件1</w:t>
      </w:r>
    </w:p>
    <w:p w14:paraId="434C7D8F"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 w14:paraId="791E8DD4"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 w14:paraId="25F6313A"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eastAsia" w:eastAsia="方正小标宋_GBK" w:cs="Times New Roman"/>
          <w:sz w:val="52"/>
          <w:szCs w:val="52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52"/>
          <w:szCs w:val="52"/>
        </w:rPr>
        <w:t>年度</w:t>
      </w:r>
      <w:r>
        <w:rPr>
          <w:rFonts w:hint="eastAsia" w:eastAsia="方正小标宋_GBK" w:cs="Times New Roman"/>
          <w:sz w:val="52"/>
          <w:szCs w:val="52"/>
          <w:lang w:eastAsia="zh-CN"/>
        </w:rPr>
        <w:t>城步苗族自治县文化旅游广电体育局部门</w:t>
      </w:r>
      <w:r>
        <w:rPr>
          <w:rFonts w:ascii="Times New Roman" w:hAnsi="Times New Roman" w:eastAsia="方正小标宋_GBK" w:cs="Times New Roman"/>
          <w:sz w:val="52"/>
          <w:szCs w:val="52"/>
        </w:rPr>
        <w:t>整体支出</w:t>
      </w:r>
    </w:p>
    <w:p w14:paraId="088178DD"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绩效自评报告</w:t>
      </w:r>
    </w:p>
    <w:p w14:paraId="4D0AE81E">
      <w:pPr>
        <w:jc w:val="center"/>
        <w:rPr>
          <w:rFonts w:ascii="Times New Roman" w:hAnsi="Times New Roman" w:eastAsia="方正小标宋_GBK" w:cs="Times New Roman"/>
          <w:b/>
          <w:sz w:val="52"/>
          <w:szCs w:val="52"/>
        </w:rPr>
      </w:pPr>
    </w:p>
    <w:p w14:paraId="33AC8A89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3ACA9582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41E7AD71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5F22695B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50BB4B35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46B17B52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59B0B5E7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312E046E">
      <w:pPr>
        <w:spacing w:line="600" w:lineRule="exact"/>
        <w:ind w:firstLine="2400" w:firstLineChars="600"/>
        <w:jc w:val="both"/>
        <w:rPr>
          <w:rFonts w:hint="default" w:ascii="仿宋" w:hAnsi="仿宋" w:eastAsia="仿宋" w:cs="仿宋"/>
          <w:sz w:val="40"/>
          <w:szCs w:val="40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40"/>
          <w:szCs w:val="40"/>
        </w:rPr>
        <w:t>单位名称：</w:t>
      </w:r>
      <w:r>
        <w:rPr>
          <w:rFonts w:hint="eastAsia" w:ascii="仿宋" w:hAnsi="仿宋" w:eastAsia="仿宋" w:cs="仿宋"/>
          <w:sz w:val="40"/>
          <w:szCs w:val="40"/>
          <w:u w:val="single"/>
          <w:lang w:eastAsia="zh-CN"/>
        </w:rPr>
        <w:t>（盖章）</w:t>
      </w:r>
      <w:r>
        <w:rPr>
          <w:rFonts w:hint="eastAsia" w:ascii="仿宋" w:hAnsi="仿宋" w:eastAsia="仿宋" w:cs="仿宋"/>
          <w:sz w:val="40"/>
          <w:szCs w:val="40"/>
          <w:u w:val="single"/>
          <w:lang w:val="en-US" w:eastAsia="zh-CN"/>
        </w:rPr>
        <w:t xml:space="preserve">    </w:t>
      </w:r>
    </w:p>
    <w:p w14:paraId="0AE85680">
      <w:pPr>
        <w:spacing w:line="600" w:lineRule="exact"/>
        <w:ind w:firstLine="2800" w:firstLineChars="700"/>
        <w:jc w:val="both"/>
        <w:rPr>
          <w:rFonts w:hint="eastAsia" w:ascii="仿宋" w:hAnsi="仿宋" w:eastAsia="仿宋" w:cs="仿宋"/>
          <w:sz w:val="40"/>
          <w:szCs w:val="40"/>
        </w:rPr>
      </w:pP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2024</w:t>
      </w:r>
      <w:r>
        <w:rPr>
          <w:rFonts w:hint="eastAsia" w:ascii="仿宋" w:hAnsi="仿宋" w:eastAsia="仿宋" w:cs="仿宋"/>
          <w:sz w:val="40"/>
          <w:szCs w:val="40"/>
        </w:rPr>
        <w:t>年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 xml:space="preserve"> 5 </w:t>
      </w:r>
      <w:r>
        <w:rPr>
          <w:rFonts w:hint="eastAsia" w:ascii="仿宋" w:hAnsi="仿宋" w:eastAsia="仿宋" w:cs="仿宋"/>
          <w:sz w:val="40"/>
          <w:szCs w:val="40"/>
        </w:rPr>
        <w:t>月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31</w:t>
      </w:r>
      <w:r>
        <w:rPr>
          <w:rFonts w:hint="eastAsia" w:ascii="仿宋" w:hAnsi="仿宋" w:eastAsia="仿宋" w:cs="仿宋"/>
          <w:sz w:val="40"/>
          <w:szCs w:val="40"/>
        </w:rPr>
        <w:t>日</w:t>
      </w:r>
    </w:p>
    <w:p w14:paraId="0EB57238"/>
    <w:p w14:paraId="2328F0D6"/>
    <w:p w14:paraId="4E2FA62E"/>
    <w:p w14:paraId="0ECD24B6"/>
    <w:p w14:paraId="18F67FA7"/>
    <w:p w14:paraId="198569E8"/>
    <w:p w14:paraId="3644B517"/>
    <w:p w14:paraId="5C1C588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40E8BA46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年度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城步苗族自治县文化旅游广电体育局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部门整体支出绩效自评报告</w:t>
      </w:r>
    </w:p>
    <w:p w14:paraId="17247815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一、部门、单位基本情况</w:t>
      </w:r>
    </w:p>
    <w:p w14:paraId="5C8C2F0C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（一）机构设置情况</w:t>
      </w:r>
    </w:p>
    <w:p w14:paraId="06805319">
      <w:pPr>
        <w:numPr>
          <w:ilvl w:val="0"/>
          <w:numId w:val="0"/>
        </w:numP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　　</w:t>
      </w:r>
      <w:r>
        <w:rPr>
          <w:rFonts w:hint="eastAsia" w:ascii="仿宋" w:hAnsi="仿宋" w:eastAsia="仿宋"/>
          <w:sz w:val="32"/>
          <w:szCs w:val="32"/>
        </w:rPr>
        <w:t>文化旅游广电体育局属行政事业单位，现设办公室、政工股、财务股、政策法规股、文旅发展股、文化市场股、广电传媒股等股室和全民健身中心、旅游质监所、文化馆、图书馆等下属机构。</w:t>
      </w:r>
    </w:p>
    <w:p w14:paraId="63CE3B1E"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人员编制情况</w:t>
      </w:r>
    </w:p>
    <w:p w14:paraId="63262955">
      <w:pPr>
        <w:numPr>
          <w:ilvl w:val="0"/>
          <w:numId w:val="0"/>
        </w:numP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</w:t>
      </w:r>
      <w:r>
        <w:rPr>
          <w:rFonts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城步县文化旅游广电体育局（局机关）编制人数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12人，实有人数17人；图书馆编制人数6人，实有人数6人；文化馆编制人数12人，实有人数12人;体校编制人数4人，实有人3人;旅游质量监督管理所编制人数4人，实有人数2人;全民健身服务中心编制人数6人，实有人数6人。共计编制：44人，年未在职人数46人。</w:t>
      </w:r>
    </w:p>
    <w:p w14:paraId="453B470C"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主要职能职责</w:t>
      </w:r>
    </w:p>
    <w:p w14:paraId="7909E4DC">
      <w:pPr>
        <w:keepNext w:val="0"/>
        <w:keepLines w:val="0"/>
        <w:widowControl/>
        <w:numPr>
          <w:ilvl w:val="0"/>
          <w:numId w:val="2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贯彻执行国家、省、市县有关文化、旅游、广电体育工作的方针政策和决策部署以及省委、市委、县委的部署要求。　　　　　　　　　　　　　　　2、指导和推进文化、旅游、广电、体育、文物领域体制机制改革。管理全县性重大文化、旅游、广电、体育、文物活动和体育、文物场地实施建设。</w:t>
      </w:r>
    </w:p>
    <w:p w14:paraId="19F0B860">
      <w:pPr>
        <w:keepNext w:val="0"/>
        <w:keepLines w:val="0"/>
        <w:widowControl/>
        <w:numPr>
          <w:ilvl w:val="0"/>
          <w:numId w:val="3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按权限负责文化旅游、广电、体育、文物领域的行政许可、复议和监督工作。管理全县文学艺术事业。组织、指导全县文化、旅游、广播电视、体育、文物的公共服务和科技创新发展。</w:t>
      </w:r>
    </w:p>
    <w:p w14:paraId="467A7162">
      <w:pPr>
        <w:keepNext w:val="0"/>
        <w:keepLines w:val="0"/>
        <w:widowControl/>
        <w:numPr>
          <w:ilvl w:val="0"/>
          <w:numId w:val="3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负责全县非物质文化遗产保护和优秀民族文化的传承和普及。指导推动文化、旅游、广播电视、体育文物市场的发展。指导全县文化市场综合行政执法工作。负责对广播电视节目安全传输覆盖、监测和安全播出进行监管。</w:t>
      </w:r>
    </w:p>
    <w:p w14:paraId="3D593836">
      <w:pPr>
        <w:keepNext w:val="0"/>
        <w:keepLines w:val="0"/>
        <w:widowControl/>
        <w:numPr>
          <w:ilvl w:val="0"/>
          <w:numId w:val="3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统筹协调全县体育事业和竞技体育发展推行全民健身计划，实施国家体育锻炼标准。</w:t>
      </w:r>
    </w:p>
    <w:p w14:paraId="0F0BC0E4">
      <w:pPr>
        <w:keepNext w:val="0"/>
        <w:keepLines w:val="0"/>
        <w:widowControl/>
        <w:numPr>
          <w:ilvl w:val="0"/>
          <w:numId w:val="3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承办县委、县政府交办的其他事项。</w:t>
      </w:r>
    </w:p>
    <w:p w14:paraId="188F3402"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绩效目标设定情况</w:t>
      </w:r>
    </w:p>
    <w:p w14:paraId="47486E43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保障文化旅游广电体育局正常运转及相关工作的正常开展。</w:t>
      </w:r>
    </w:p>
    <w:p w14:paraId="4241AB78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二、部门整体支出管理及使用情况</w:t>
      </w:r>
    </w:p>
    <w:p w14:paraId="359AF6E8">
      <w:pPr>
        <w:pStyle w:val="6"/>
        <w:widowControl/>
        <w:spacing w:line="600" w:lineRule="exact"/>
        <w:ind w:left="640" w:firstLine="0" w:firstLineChars="0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sz w:val="32"/>
          <w:szCs w:val="32"/>
        </w:rPr>
        <w:t>（一）</w:t>
      </w:r>
      <w:r>
        <w:rPr>
          <w:rFonts w:hint="eastAsia" w:eastAsia="楷体_GB2312" w:cs="Times New Roman"/>
          <w:sz w:val="32"/>
          <w:szCs w:val="32"/>
          <w:lang w:eastAsia="zh-CN"/>
        </w:rPr>
        <w:t>部门</w:t>
      </w:r>
      <w:r>
        <w:rPr>
          <w:rFonts w:hint="default" w:ascii="Times New Roman" w:hAnsi="Times New Roman" w:eastAsia="楷体_GB2312" w:cs="Times New Roman"/>
          <w:sz w:val="32"/>
          <w:szCs w:val="32"/>
        </w:rPr>
        <w:t>预决算情况</w:t>
      </w:r>
    </w:p>
    <w:p w14:paraId="4D25412F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1.部门预算情况</w:t>
      </w:r>
    </w:p>
    <w:p w14:paraId="42F611E5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2023年年初预算安排收入</w:t>
      </w:r>
      <w:r>
        <w:rPr>
          <w:rFonts w:hint="eastAsia" w:cs="Times New Roman"/>
          <w:sz w:val="32"/>
          <w:szCs w:val="32"/>
          <w:lang w:val="en-US" w:eastAsia="zh-CN"/>
        </w:rPr>
        <w:t>789.65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万元，其中一般公共财政拨款</w:t>
      </w:r>
      <w:r>
        <w:rPr>
          <w:rFonts w:hint="eastAsia" w:cs="Times New Roman"/>
          <w:sz w:val="32"/>
          <w:szCs w:val="32"/>
          <w:lang w:val="en-US" w:eastAsia="zh-CN"/>
        </w:rPr>
        <w:t>789.65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万元；2023年年初预算安排支出</w:t>
      </w:r>
      <w:r>
        <w:rPr>
          <w:rFonts w:hint="eastAsia" w:cs="Times New Roman"/>
          <w:sz w:val="32"/>
          <w:szCs w:val="32"/>
          <w:lang w:val="en-US" w:eastAsia="zh-CN"/>
        </w:rPr>
        <w:t>789.65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其中：基本支出</w:t>
      </w:r>
      <w:r>
        <w:rPr>
          <w:rFonts w:hint="eastAsia" w:cs="Times New Roman"/>
          <w:sz w:val="32"/>
          <w:szCs w:val="32"/>
          <w:lang w:val="en-US" w:eastAsia="zh-CN"/>
        </w:rPr>
        <w:t>632.90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万元，项目支出</w:t>
      </w:r>
      <w:r>
        <w:rPr>
          <w:rFonts w:hint="eastAsia" w:cs="Times New Roman"/>
          <w:sz w:val="32"/>
          <w:szCs w:val="32"/>
          <w:lang w:val="en-US" w:eastAsia="zh-CN"/>
        </w:rPr>
        <w:t>156.75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 w14:paraId="3AB46EB3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2.部门决算情况（含年中预算追加情况）</w:t>
      </w:r>
    </w:p>
    <w:p w14:paraId="060FDC6C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2023年决算总收入</w:t>
      </w:r>
      <w:r>
        <w:rPr>
          <w:rFonts w:hint="eastAsia" w:cs="Times New Roman"/>
          <w:sz w:val="32"/>
          <w:szCs w:val="32"/>
          <w:lang w:val="en-US" w:eastAsia="zh-CN"/>
        </w:rPr>
        <w:t>2264.14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万元，较预算增加</w:t>
      </w:r>
      <w:r>
        <w:rPr>
          <w:rFonts w:hint="eastAsia" w:cs="Times New Roman"/>
          <w:sz w:val="32"/>
          <w:szCs w:val="32"/>
          <w:lang w:val="en-US" w:eastAsia="zh-CN"/>
        </w:rPr>
        <w:t>1474.49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万元，总支出</w:t>
      </w:r>
      <w:r>
        <w:rPr>
          <w:rFonts w:hint="eastAsia" w:cs="Times New Roman"/>
          <w:sz w:val="32"/>
          <w:szCs w:val="32"/>
          <w:lang w:val="en-US" w:eastAsia="zh-CN"/>
        </w:rPr>
        <w:t>2264.14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万元，其中：基本支出</w:t>
      </w:r>
      <w:r>
        <w:rPr>
          <w:rFonts w:hint="eastAsia" w:cs="Times New Roman"/>
          <w:sz w:val="32"/>
          <w:szCs w:val="32"/>
          <w:lang w:val="en-US" w:eastAsia="zh-CN"/>
        </w:rPr>
        <w:t>806.73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35.63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％；项目支出</w:t>
      </w:r>
      <w:r>
        <w:rPr>
          <w:rFonts w:hint="eastAsia" w:cs="Times New Roman"/>
          <w:sz w:val="32"/>
          <w:szCs w:val="32"/>
          <w:lang w:val="en-US" w:eastAsia="zh-CN"/>
        </w:rPr>
        <w:t>1457.41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64.37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％。差异产生的主要原因是</w:t>
      </w:r>
      <w:r>
        <w:rPr>
          <w:rFonts w:hint="eastAsia" w:cs="Times New Roman"/>
          <w:sz w:val="32"/>
          <w:szCs w:val="32"/>
          <w:lang w:eastAsia="zh-CN"/>
        </w:rPr>
        <w:t>单位职能职责范围的增加，人员经费和项目经费的增加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 w14:paraId="33442362">
      <w:pPr>
        <w:spacing w:line="600" w:lineRule="exact"/>
        <w:ind w:firstLine="640" w:firstLineChars="200"/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  <w:t>（二）部门预算执行情况</w:t>
      </w:r>
    </w:p>
    <w:p w14:paraId="4893C11A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经费执行情况</w:t>
      </w:r>
    </w:p>
    <w:p w14:paraId="2BD4B77E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经费预算数</w:t>
      </w:r>
      <w:r>
        <w:rPr>
          <w:rFonts w:hint="eastAsia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万元，其中：因公出国（境）费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万元，公务用车购置及运行维护费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万元，公务接待费</w:t>
      </w:r>
      <w:r>
        <w:rPr>
          <w:rFonts w:hint="eastAsia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经费决算数</w:t>
      </w:r>
      <w:r>
        <w:rPr>
          <w:rFonts w:hint="eastAsia" w:cs="Times New Roman"/>
          <w:sz w:val="32"/>
          <w:szCs w:val="32"/>
          <w:lang w:val="en-US" w:eastAsia="zh-CN"/>
        </w:rPr>
        <w:t>2.75万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元，其中：因公出国（境）费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万元，公务用车运行维护费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万元，公务接待费</w:t>
      </w:r>
      <w:r>
        <w:rPr>
          <w:rFonts w:hint="eastAsia" w:cs="Times New Roman"/>
          <w:sz w:val="32"/>
          <w:szCs w:val="32"/>
          <w:lang w:val="en-US" w:eastAsia="zh-CN"/>
        </w:rPr>
        <w:t>2.75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 w14:paraId="28168720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.政府采购执行情况</w:t>
      </w:r>
    </w:p>
    <w:p w14:paraId="5B411990">
      <w:pPr>
        <w:spacing w:line="600" w:lineRule="exact"/>
        <w:ind w:firstLine="640" w:firstLineChars="200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2023年度政府采购支出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万元，其中：货物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元，工程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万元，服务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 w14:paraId="13FE2AF1">
      <w:pPr>
        <w:pStyle w:val="3"/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政府性基金预算支出情况</w:t>
      </w:r>
    </w:p>
    <w:p w14:paraId="0D7CC8AB"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eastAsia="仿宋" w:cs="Times New Roman"/>
          <w:color w:val="000000"/>
          <w:sz w:val="32"/>
          <w:szCs w:val="32"/>
          <w:lang w:eastAsia="zh-CN"/>
        </w:rPr>
        <w:t>　　202</w:t>
      </w:r>
      <w:r>
        <w:rPr>
          <w:rFonts w:hint="eastAsia" w:eastAsia="仿宋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eastAsia" w:eastAsia="仿宋" w:cs="Times New Roman"/>
          <w:color w:val="000000"/>
          <w:sz w:val="32"/>
          <w:szCs w:val="32"/>
          <w:lang w:eastAsia="zh-CN"/>
        </w:rPr>
        <w:t>年度政府性基金预算财政拨款收入</w:t>
      </w:r>
      <w:r>
        <w:rPr>
          <w:rFonts w:hint="eastAsia" w:eastAsia="仿宋" w:cs="Times New Roman"/>
          <w:color w:val="000000"/>
          <w:sz w:val="32"/>
          <w:szCs w:val="32"/>
          <w:lang w:val="en-US" w:eastAsia="zh-CN"/>
        </w:rPr>
        <w:t>22.62万</w:t>
      </w:r>
      <w:r>
        <w:rPr>
          <w:rFonts w:hint="eastAsia" w:eastAsia="仿宋" w:cs="Times New Roman"/>
          <w:color w:val="000000"/>
          <w:sz w:val="32"/>
          <w:szCs w:val="32"/>
          <w:lang w:eastAsia="zh-CN"/>
        </w:rPr>
        <w:t>元；支出</w:t>
      </w:r>
      <w:r>
        <w:rPr>
          <w:rFonts w:hint="eastAsia" w:eastAsia="仿宋" w:cs="Times New Roman"/>
          <w:color w:val="000000"/>
          <w:sz w:val="32"/>
          <w:szCs w:val="32"/>
          <w:lang w:val="en-US" w:eastAsia="zh-CN"/>
        </w:rPr>
        <w:t>22.62</w:t>
      </w:r>
      <w:r>
        <w:rPr>
          <w:rFonts w:hint="eastAsia" w:eastAsia="仿宋" w:cs="Times New Roman"/>
          <w:color w:val="000000"/>
          <w:sz w:val="32"/>
          <w:szCs w:val="32"/>
          <w:lang w:eastAsia="zh-CN"/>
        </w:rPr>
        <w:t>万元，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val="en-US" w:eastAsia="zh-CN"/>
        </w:rPr>
        <w:t>主要是用于体育事业的彩票公益金支出。</w:t>
      </w:r>
    </w:p>
    <w:p w14:paraId="0A9D1B72">
      <w:pPr>
        <w:pStyle w:val="3"/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国有资本经营预算支出情况</w:t>
      </w:r>
    </w:p>
    <w:p w14:paraId="1B8559C2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　　2022年度县文化旅游广电体育局无国有资本经营的资金收支。</w:t>
      </w:r>
    </w:p>
    <w:p w14:paraId="4BA7379E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  <w:lang w:val="en-US" w:eastAsia="zh-CN" w:bidi="ar-SA"/>
        </w:rPr>
        <w:t>五、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社会保险基金预算支出情况</w:t>
      </w:r>
    </w:p>
    <w:p w14:paraId="47301289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2022年度县文化旅游广电体育局无社会保险基金的资金收支。</w:t>
      </w:r>
    </w:p>
    <w:p w14:paraId="6FB044CA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六、部门整体支出绩效情况</w:t>
      </w:r>
    </w:p>
    <w:p w14:paraId="6A08C42F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（一）综合评价结论。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反映自评得分及评价等级。</w:t>
      </w:r>
    </w:p>
    <w:p w14:paraId="3D48DFE1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2023年我局在县委县</w:t>
      </w: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政府正确领导下，通过一年的努力工作，全局上下全体干部职工切实转变工作作风，办事更积极，态度更热情，使广大群众和服务对象更满意，满意率达到98%以上。自评得分：99分。</w:t>
      </w:r>
    </w:p>
    <w:p w14:paraId="1CF070B3">
      <w:pPr>
        <w:keepNext w:val="0"/>
        <w:keepLines w:val="0"/>
        <w:widowControl/>
        <w:numPr>
          <w:ilvl w:val="0"/>
          <w:numId w:val="5"/>
        </w:numPr>
        <w:suppressLineNumbers w:val="0"/>
        <w:shd w:val="clear" w:color="auto" w:fill="FFFFFF"/>
        <w:spacing w:before="100" w:beforeAutospacing="1" w:after="100" w:afterAutospacing="1"/>
        <w:ind w:leftChars="200"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评价指标分析（或综合评价情况）。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</w:t>
      </w:r>
    </w:p>
    <w:p w14:paraId="13469D4C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2023年我局部门整体支出绩效主要有免费开放、非遗保护、送戏下乡和日常运行、体育、旅游工作经费、日常运行项目。并对各项目的资金按时按质进行了及时的拨付，重点工作结办率达到了100%。</w:t>
      </w:r>
    </w:p>
    <w:p w14:paraId="26B93FA0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1、保障机构的正常运转和完成单位各项职能职责。</w:t>
      </w:r>
    </w:p>
    <w:p w14:paraId="48BC02DB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2、非物质文化遗产的资料的整理和申报工作，特别是吊龙和油茶项目，做好全县非遗的保护和传承工作；</w:t>
      </w:r>
    </w:p>
    <w:p w14:paraId="6F383B52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3、文化馆、图书馆及乡镇综合文化站免费开放县级配套，继续为免费开放提供有力的资金支持；</w:t>
      </w:r>
    </w:p>
    <w:p w14:paraId="2D3EC448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4、全县文物和博物馆安全防范，文物执法和安全督查，文物管理、保护、抢救、发掘、研究、宣传等工作，特别是做好南门城墙的保护修缮；</w:t>
      </w:r>
    </w:p>
    <w:p w14:paraId="34954310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5、做好对广播电视节目安全传输覆盖、监测和安全播出进行监管工作;</w:t>
      </w:r>
    </w:p>
    <w:p w14:paraId="42416CA4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6、旅游市场开发规划，组织对外宣传推广，协调指导假日旅游和红色旅游，监督管理旅行社、旅游饭店、乡村旅游区，负责文旅广体统计及行业信息发布，打响城步旅游品牌。</w:t>
      </w:r>
    </w:p>
    <w:p w14:paraId="593A2FE1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color="auto" w:fill="FFFFFF"/>
        <w:spacing w:before="100" w:beforeAutospacing="1" w:after="100" w:afterAutospacing="1"/>
        <w:ind w:right="0" w:rightChars="0"/>
        <w:jc w:val="left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7、推行全民健身计划开展国民体质监测，协调指导群众体育活动开展，监督管理广告图设施，统筹协调体育事业和竞技体育发展，指导推进青少年体育工作。</w:t>
      </w:r>
    </w:p>
    <w:p w14:paraId="73DA6F9A">
      <w:pPr>
        <w:pStyle w:val="2"/>
        <w:numPr>
          <w:ilvl w:val="0"/>
          <w:numId w:val="0"/>
        </w:numP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8、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继续做好公共文化戏曲进乡村活动，丰富广大人民的业余文化生活。</w:t>
      </w:r>
    </w:p>
    <w:p w14:paraId="5A44A140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七、存在的问题及原因分析</w:t>
      </w:r>
    </w:p>
    <w:p w14:paraId="5DCA946F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资金拨付上存在滞后现象，有待于进一步提升。</w:t>
      </w:r>
    </w:p>
    <w:p w14:paraId="28B65281">
      <w:pPr>
        <w:pStyle w:val="3"/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下一步改进措施</w:t>
      </w:r>
    </w:p>
    <w:p w14:paraId="056D717B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加强营商环境管理和监督，全力促进县域经济和文化的健康发展。</w:t>
      </w:r>
    </w:p>
    <w:p w14:paraId="35D0A198">
      <w:pPr>
        <w:pStyle w:val="3"/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其他需要说明的情况</w:t>
      </w:r>
    </w:p>
    <w:p w14:paraId="7289E4D5">
      <w:pPr>
        <w:keepNext w:val="0"/>
        <w:keepLines w:val="0"/>
        <w:widowControl/>
        <w:suppressLineNumbers w:val="0"/>
        <w:shd w:val="clear" w:color="auto" w:fill="FFFFFF"/>
        <w:spacing w:before="100" w:beforeAutospacing="1" w:after="100" w:afterAutospacing="1"/>
        <w:ind w:left="0" w:right="0" w:firstLine="640"/>
        <w:jc w:val="left"/>
        <w:rPr>
          <w:rFonts w:hint="default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下一步主要是规划我县文化、旅游、广电、体育建设中长期目标，细化步骤，充分整合利用好文化资源和文化旅游广电体育经费，力争早日实现文化旅游强县目标。建议政府在保障基本公共文体服务方面加大投入，促进我县文化、旅游、广电、体育事业均等性、标准化发展；加大人才队伍建设，促进我县文化、旅游、广电、体育的创新传承与发展。</w:t>
      </w:r>
    </w:p>
    <w:p w14:paraId="4AE5D7DE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报告应包括以下附件：</w:t>
      </w:r>
    </w:p>
    <w:p w14:paraId="738615A7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部门整体支出绩效评价基础数据表</w:t>
      </w: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</w:p>
    <w:p w14:paraId="3C7721E0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部门整体支出绩效自评表</w:t>
      </w:r>
    </w:p>
    <w:p w14:paraId="3889CE40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3、项目支出绩效自评表（每个项目支出一张表！）</w:t>
      </w:r>
    </w:p>
    <w:p w14:paraId="003F5B74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673ECBE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AA9114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43CC06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05CEBB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FC5B29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63C38B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BA72C7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44B2C6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AC5735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BF560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29453E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705FFF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D95FD4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528A2B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E0D7BB4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0"/>
        <w:jc w:val="both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0C20E35F">
      <w:pPr>
        <w:jc w:val="left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</w:p>
    <w:sectPr>
      <w:pgSz w:w="11906" w:h="16838"/>
      <w:pgMar w:top="1440" w:right="1134" w:bottom="1440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7559B9"/>
    <w:multiLevelType w:val="singleLevel"/>
    <w:tmpl w:val="E67559B9"/>
    <w:lvl w:ilvl="0" w:tentative="0">
      <w:start w:val="3"/>
      <w:numFmt w:val="decimal"/>
      <w:suff w:val="nothing"/>
      <w:lvlText w:val="%1、"/>
      <w:lvlJc w:val="left"/>
    </w:lvl>
  </w:abstractNum>
  <w:abstractNum w:abstractNumId="1">
    <w:nsid w:val="0A9C36B6"/>
    <w:multiLevelType w:val="singleLevel"/>
    <w:tmpl w:val="0A9C36B6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25E970E5"/>
    <w:multiLevelType w:val="singleLevel"/>
    <w:tmpl w:val="25E970E5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312060B7"/>
    <w:multiLevelType w:val="singleLevel"/>
    <w:tmpl w:val="312060B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493FBFCC"/>
    <w:multiLevelType w:val="singleLevel"/>
    <w:tmpl w:val="493FBFCC"/>
    <w:lvl w:ilvl="0" w:tentative="0">
      <w:start w:val="1"/>
      <w:numFmt w:val="decimalFullWidth"/>
      <w:suff w:val="nothing"/>
      <w:lvlText w:val="%1、"/>
      <w:lvlJc w:val="left"/>
      <w:rPr>
        <w:rFonts w:hint="eastAsia"/>
      </w:rPr>
    </w:lvl>
  </w:abstractNum>
  <w:abstractNum w:abstractNumId="5">
    <w:nsid w:val="4DEDF701"/>
    <w:multiLevelType w:val="singleLevel"/>
    <w:tmpl w:val="4DEDF701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kMTc2YzY3YmMyNzQ0OGMzYjFlMDRkMGNlZDI2MzgifQ=="/>
    <w:docVar w:name="KSO_WPS_MARK_KEY" w:val="2cad2da4-8c74-4208-b950-09c4ddb6f378"/>
  </w:docVars>
  <w:rsids>
    <w:rsidRoot w:val="00000000"/>
    <w:rsid w:val="1EA33F65"/>
    <w:rsid w:val="269E5DD8"/>
    <w:rsid w:val="343116A4"/>
    <w:rsid w:val="3AB21222"/>
    <w:rsid w:val="414D6490"/>
    <w:rsid w:val="45945EF0"/>
    <w:rsid w:val="4B521B21"/>
    <w:rsid w:val="4B72396B"/>
    <w:rsid w:val="640B0903"/>
    <w:rsid w:val="77851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8"/>
      <w:szCs w:val="28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List Paragraph"/>
    <w:basedOn w:val="1"/>
    <w:qFormat/>
    <w:uiPriority w:val="99"/>
    <w:pPr>
      <w:ind w:firstLine="420" w:firstLineChars="200"/>
    </w:pPr>
    <w:rPr>
      <w:rFonts w:ascii="Times New Roman" w:hAnsi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2132</Words>
  <Characters>2267</Characters>
  <Lines>0</Lines>
  <Paragraphs>0</Paragraphs>
  <TotalTime>9</TotalTime>
  <ScaleCrop>false</ScaleCrop>
  <LinksUpToDate>false</LinksUpToDate>
  <CharactersWithSpaces>2304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2021-09-17T07:11:00Z</dcterms:created>
  <dc:creator>Administrator</dc:creator>
  <cp:lastModifiedBy>Sun</cp:lastModifiedBy>
  <dcterms:modified xsi:type="dcterms:W3CDTF">2025-03-17T03:20:39Z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ED5F89DD874D4A3981D007DA0847240D_13</vt:lpwstr>
  </property>
  <property fmtid="{D5CDD505-2E9C-101B-9397-08002B2CF9AE}" pid="4" name="KSOTemplateDocerSaveRecord">
    <vt:lpwstr>eyJoZGlkIjoiMzAyY2M5MzcyZmU3NzhiYjYzMTY5MWRmNjBmYzI2NzYiLCJ1c2VySWQiOiIyMzQ2NzI5NjQifQ==</vt:lpwstr>
  </property>
</Properties>
</file>