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A675F">
      <w:pPr>
        <w:pStyle w:val="4"/>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附件1</w:t>
      </w:r>
    </w:p>
    <w:p w14:paraId="4309CD1F">
      <w:pPr>
        <w:spacing w:line="600" w:lineRule="exact"/>
        <w:rPr>
          <w:rFonts w:eastAsia="黑体"/>
          <w:sz w:val="32"/>
          <w:szCs w:val="32"/>
        </w:rPr>
      </w:pPr>
    </w:p>
    <w:p w14:paraId="5A27F4B9">
      <w:pPr>
        <w:spacing w:line="600" w:lineRule="exact"/>
        <w:rPr>
          <w:rFonts w:eastAsia="黑体"/>
          <w:sz w:val="32"/>
          <w:szCs w:val="32"/>
        </w:rPr>
      </w:pPr>
    </w:p>
    <w:p w14:paraId="106690A2">
      <w:pPr>
        <w:jc w:val="center"/>
        <w:rPr>
          <w:rFonts w:eastAsia="方正小标宋_GBK"/>
          <w:sz w:val="52"/>
          <w:szCs w:val="52"/>
        </w:rPr>
      </w:pPr>
      <w:r>
        <w:rPr>
          <w:rFonts w:eastAsia="方正小标宋_GBK"/>
          <w:sz w:val="52"/>
          <w:szCs w:val="52"/>
        </w:rPr>
        <w:t>202</w:t>
      </w:r>
      <w:r>
        <w:rPr>
          <w:rFonts w:hint="eastAsia" w:eastAsia="方正小标宋_GBK"/>
          <w:sz w:val="52"/>
          <w:szCs w:val="52"/>
        </w:rPr>
        <w:t>3</w:t>
      </w:r>
      <w:r>
        <w:rPr>
          <w:rFonts w:eastAsia="方正小标宋_GBK"/>
          <w:sz w:val="52"/>
          <w:szCs w:val="52"/>
        </w:rPr>
        <w:t>年度</w:t>
      </w:r>
      <w:r>
        <w:rPr>
          <w:rFonts w:hint="eastAsia" w:eastAsia="方正小标宋_GBK"/>
          <w:sz w:val="52"/>
          <w:szCs w:val="52"/>
        </w:rPr>
        <w:t>县委</w:t>
      </w:r>
      <w:r>
        <w:rPr>
          <w:rFonts w:hint="eastAsia" w:eastAsia="方正小标宋_GBK"/>
          <w:sz w:val="52"/>
          <w:szCs w:val="52"/>
          <w:lang w:val="en-US" w:eastAsia="zh-CN"/>
        </w:rPr>
        <w:t>党校</w:t>
      </w:r>
      <w:r>
        <w:rPr>
          <w:rFonts w:hint="eastAsia" w:eastAsia="方正小标宋_GBK"/>
          <w:sz w:val="52"/>
          <w:szCs w:val="52"/>
        </w:rPr>
        <w:t>部门</w:t>
      </w:r>
      <w:r>
        <w:rPr>
          <w:rFonts w:eastAsia="方正小标宋_GBK"/>
          <w:sz w:val="52"/>
          <w:szCs w:val="52"/>
        </w:rPr>
        <w:t>整体支出</w:t>
      </w:r>
    </w:p>
    <w:p w14:paraId="5F5D4631">
      <w:pPr>
        <w:jc w:val="center"/>
        <w:rPr>
          <w:rFonts w:eastAsia="方正小标宋_GBK"/>
          <w:sz w:val="52"/>
          <w:szCs w:val="52"/>
        </w:rPr>
      </w:pPr>
      <w:r>
        <w:rPr>
          <w:rFonts w:eastAsia="方正小标宋_GBK"/>
          <w:sz w:val="52"/>
          <w:szCs w:val="52"/>
        </w:rPr>
        <w:t>绩效自评报告</w:t>
      </w:r>
    </w:p>
    <w:p w14:paraId="58EDDACA">
      <w:pPr>
        <w:jc w:val="center"/>
        <w:rPr>
          <w:rFonts w:eastAsia="方正小标宋_GBK"/>
          <w:b/>
          <w:sz w:val="52"/>
          <w:szCs w:val="52"/>
        </w:rPr>
      </w:pPr>
    </w:p>
    <w:p w14:paraId="0CF566D7">
      <w:pPr>
        <w:jc w:val="center"/>
        <w:rPr>
          <w:rFonts w:eastAsia="黑体"/>
          <w:sz w:val="32"/>
          <w:szCs w:val="32"/>
        </w:rPr>
      </w:pPr>
    </w:p>
    <w:p w14:paraId="449021BE">
      <w:pPr>
        <w:jc w:val="center"/>
        <w:rPr>
          <w:rFonts w:eastAsia="黑体"/>
          <w:sz w:val="32"/>
          <w:szCs w:val="32"/>
        </w:rPr>
      </w:pPr>
    </w:p>
    <w:p w14:paraId="00398E11">
      <w:pPr>
        <w:jc w:val="center"/>
        <w:rPr>
          <w:rFonts w:eastAsia="黑体"/>
          <w:sz w:val="32"/>
          <w:szCs w:val="32"/>
        </w:rPr>
      </w:pPr>
    </w:p>
    <w:p w14:paraId="194A3C31">
      <w:pPr>
        <w:jc w:val="center"/>
        <w:rPr>
          <w:rFonts w:eastAsia="黑体"/>
          <w:sz w:val="32"/>
          <w:szCs w:val="32"/>
        </w:rPr>
      </w:pPr>
    </w:p>
    <w:p w14:paraId="7481E7F7">
      <w:pPr>
        <w:jc w:val="center"/>
        <w:rPr>
          <w:rFonts w:eastAsia="黑体"/>
          <w:sz w:val="32"/>
          <w:szCs w:val="32"/>
        </w:rPr>
      </w:pPr>
    </w:p>
    <w:p w14:paraId="651AB88C">
      <w:pPr>
        <w:jc w:val="center"/>
        <w:rPr>
          <w:rFonts w:eastAsia="黑体"/>
          <w:sz w:val="32"/>
          <w:szCs w:val="32"/>
        </w:rPr>
      </w:pPr>
    </w:p>
    <w:p w14:paraId="4DA6968D">
      <w:pPr>
        <w:jc w:val="center"/>
        <w:rPr>
          <w:rFonts w:eastAsia="黑体"/>
          <w:sz w:val="32"/>
          <w:szCs w:val="32"/>
        </w:rPr>
      </w:pPr>
    </w:p>
    <w:p w14:paraId="3403EDFE">
      <w:pPr>
        <w:spacing w:line="600" w:lineRule="exact"/>
        <w:ind w:firstLine="1200" w:firstLineChars="300"/>
        <w:rPr>
          <w:rFonts w:ascii="仿宋" w:hAnsi="仿宋" w:eastAsia="仿宋" w:cs="仿宋"/>
          <w:sz w:val="40"/>
          <w:szCs w:val="40"/>
          <w:u w:val="single"/>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中共</w:t>
      </w:r>
      <w:r>
        <w:rPr>
          <w:rFonts w:hint="eastAsia" w:ascii="仿宋" w:hAnsi="仿宋" w:eastAsia="仿宋" w:cs="仿宋"/>
          <w:sz w:val="40"/>
          <w:szCs w:val="40"/>
          <w:u w:val="single"/>
        </w:rPr>
        <w:t>城步苗族自治县委</w:t>
      </w:r>
      <w:r>
        <w:rPr>
          <w:rFonts w:hint="eastAsia" w:ascii="仿宋" w:hAnsi="仿宋" w:eastAsia="仿宋" w:cs="仿宋"/>
          <w:sz w:val="40"/>
          <w:szCs w:val="40"/>
          <w:u w:val="single"/>
          <w:lang w:val="en-US" w:eastAsia="zh-CN"/>
        </w:rPr>
        <w:t>党校</w:t>
      </w:r>
      <w:r>
        <w:rPr>
          <w:rFonts w:hint="eastAsia" w:ascii="仿宋" w:hAnsi="仿宋" w:eastAsia="仿宋" w:cs="仿宋"/>
          <w:sz w:val="40"/>
          <w:szCs w:val="40"/>
          <w:u w:val="single"/>
        </w:rPr>
        <w:t xml:space="preserve"> </w:t>
      </w:r>
    </w:p>
    <w:p w14:paraId="0DFE139B">
      <w:pPr>
        <w:spacing w:line="600" w:lineRule="exact"/>
        <w:ind w:firstLine="3200" w:firstLineChars="800"/>
        <w:rPr>
          <w:rFonts w:ascii="仿宋" w:hAnsi="仿宋" w:eastAsia="仿宋" w:cs="仿宋"/>
          <w:sz w:val="40"/>
          <w:szCs w:val="40"/>
        </w:rPr>
      </w:pPr>
      <w:r>
        <w:rPr>
          <w:rFonts w:hint="eastAsia" w:ascii="仿宋" w:hAnsi="仿宋" w:eastAsia="仿宋" w:cs="仿宋"/>
          <w:sz w:val="40"/>
          <w:szCs w:val="40"/>
        </w:rPr>
        <w:t>2024年 5 月31日</w:t>
      </w:r>
    </w:p>
    <w:p w14:paraId="206ECEF1"/>
    <w:p w14:paraId="18517828"/>
    <w:p w14:paraId="3E26BCBE"/>
    <w:p w14:paraId="73116940"/>
    <w:p w14:paraId="0A5AFAB1"/>
    <w:p w14:paraId="3BF6877E">
      <w:pPr>
        <w:pStyle w:val="4"/>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p>
    <w:p w14:paraId="0644EE26">
      <w:pPr>
        <w:pStyle w:val="4"/>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2023年度县委</w:t>
      </w:r>
      <w:r>
        <w:rPr>
          <w:rFonts w:hint="eastAsia" w:ascii="方正小标宋_GBK" w:hAnsi="方正小标宋_GBK" w:eastAsia="方正小标宋_GBK" w:cs="方正小标宋_GBK"/>
          <w:color w:val="000000"/>
          <w:sz w:val="44"/>
          <w:szCs w:val="44"/>
          <w:shd w:val="clear" w:color="auto" w:fill="FFFFFF"/>
          <w:lang w:val="en-US" w:eastAsia="zh-CN"/>
        </w:rPr>
        <w:t>党校</w:t>
      </w:r>
      <w:r>
        <w:rPr>
          <w:rFonts w:hint="eastAsia" w:ascii="方正小标宋_GBK" w:hAnsi="方正小标宋_GBK" w:eastAsia="方正小标宋_GBK" w:cs="方正小标宋_GBK"/>
          <w:color w:val="000000"/>
          <w:sz w:val="44"/>
          <w:szCs w:val="44"/>
          <w:shd w:val="clear" w:color="auto" w:fill="FFFFFF"/>
        </w:rPr>
        <w:t>部门整体支出绩效自评</w:t>
      </w:r>
    </w:p>
    <w:p w14:paraId="2338F664">
      <w:pPr>
        <w:pStyle w:val="4"/>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报告</w:t>
      </w:r>
    </w:p>
    <w:p w14:paraId="042202DB">
      <w:pPr>
        <w:pStyle w:val="4"/>
        <w:widowControl/>
        <w:shd w:val="clear" w:color="auto" w:fill="FFFFFF"/>
        <w:snapToGrid w:val="0"/>
        <w:spacing w:beforeAutospacing="0" w:afterAutospacing="0" w:line="520" w:lineRule="exact"/>
        <w:jc w:val="center"/>
        <w:rPr>
          <w:rFonts w:ascii="仿宋_GB2312" w:cs="仿宋_GB2312"/>
          <w:color w:val="000000"/>
          <w:szCs w:val="24"/>
        </w:rPr>
      </w:pPr>
    </w:p>
    <w:p w14:paraId="48533095">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759F7C0D">
      <w:pPr>
        <w:widowControl/>
        <w:spacing w:line="560" w:lineRule="exact"/>
        <w:ind w:firstLine="640" w:firstLineChars="200"/>
        <w:rPr>
          <w:rFonts w:eastAsia="楷体_GB2312"/>
          <w:bCs/>
          <w:sz w:val="32"/>
          <w:szCs w:val="32"/>
        </w:rPr>
      </w:pPr>
      <w:r>
        <w:rPr>
          <w:rFonts w:eastAsia="楷体_GB2312"/>
          <w:bCs/>
          <w:sz w:val="32"/>
          <w:szCs w:val="32"/>
        </w:rPr>
        <w:t>（一）机构、人员构成</w:t>
      </w:r>
    </w:p>
    <w:p w14:paraId="22D2F846">
      <w:pPr>
        <w:spacing w:line="360" w:lineRule="auto"/>
        <w:ind w:firstLine="960" w:firstLineChars="300"/>
        <w:rPr>
          <w:rFonts w:hint="default" w:ascii="仿宋" w:hAnsi="仿宋" w:eastAsia="仿宋" w:cs="仿宋"/>
          <w:kern w:val="0"/>
          <w:lang w:val="en-US" w:eastAsia="zh-CN" w:bidi="zh-CN"/>
        </w:rPr>
      </w:pPr>
      <w:r>
        <w:rPr>
          <w:rFonts w:hint="eastAsia" w:ascii="仿宋" w:hAnsi="仿宋" w:eastAsia="仿宋" w:cs="仿宋"/>
          <w:color w:val="000000"/>
          <w:sz w:val="32"/>
          <w:szCs w:val="32"/>
          <w:shd w:val="clear" w:color="auto" w:fill="FFFFFF"/>
        </w:rPr>
        <w:t>中共城步苗族自治县委党校和城步苗族自治县行政学校、城步苗族自治县民族学校合署办公，一套工作机构、三个牌子名称。</w:t>
      </w:r>
      <w:r>
        <w:rPr>
          <w:rFonts w:hint="eastAsia" w:ascii="仿宋" w:hAnsi="仿宋" w:eastAsia="仿宋" w:cs="仿宋"/>
          <w:color w:val="000000"/>
          <w:sz w:val="32"/>
          <w:szCs w:val="32"/>
          <w:shd w:val="clear" w:color="auto" w:fill="FFFFFF"/>
          <w:lang w:val="en-US" w:eastAsia="zh-CN"/>
        </w:rPr>
        <w:t>根据编委核定，</w:t>
      </w:r>
      <w:r>
        <w:rPr>
          <w:rFonts w:hint="eastAsia" w:ascii="仿宋" w:hAnsi="仿宋" w:eastAsia="仿宋" w:cs="仿宋"/>
          <w:color w:val="000000"/>
          <w:sz w:val="32"/>
          <w:szCs w:val="32"/>
          <w:shd w:val="clear" w:color="auto" w:fill="FFFFFF"/>
        </w:rPr>
        <w:t>县委党校内设</w:t>
      </w:r>
      <w:r>
        <w:rPr>
          <w:rFonts w:hint="eastAsia" w:ascii="仿宋" w:hAnsi="仿宋" w:eastAsia="仿宋" w:cs="仿宋"/>
          <w:color w:val="000000"/>
          <w:sz w:val="32"/>
          <w:szCs w:val="32"/>
          <w:shd w:val="clear" w:color="auto" w:fill="FFFFFF"/>
          <w:lang w:val="en-US" w:eastAsia="zh-CN"/>
        </w:rPr>
        <w:t>股室六个，分别是</w:t>
      </w:r>
      <w:r>
        <w:rPr>
          <w:rFonts w:hint="eastAsia" w:ascii="仿宋" w:hAnsi="仿宋" w:eastAsia="仿宋" w:cs="仿宋"/>
          <w:color w:val="000000"/>
          <w:sz w:val="32"/>
          <w:szCs w:val="32"/>
          <w:shd w:val="clear" w:color="auto" w:fill="FFFFFF"/>
        </w:rPr>
        <w:t>办公室、教务室、科研室、财务室、政工室、信息技术室六个股室</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核定编制19人。</w:t>
      </w:r>
    </w:p>
    <w:p w14:paraId="6CE75062">
      <w:pPr>
        <w:widowControl/>
        <w:spacing w:line="560" w:lineRule="exact"/>
        <w:ind w:firstLine="640" w:firstLineChars="200"/>
        <w:rPr>
          <w:rFonts w:eastAsia="楷体_GB2312"/>
          <w:bCs/>
          <w:sz w:val="32"/>
          <w:szCs w:val="32"/>
        </w:rPr>
      </w:pPr>
      <w:r>
        <w:rPr>
          <w:rFonts w:hint="eastAsia" w:eastAsia="楷体_GB2312"/>
          <w:bCs/>
          <w:sz w:val="32"/>
          <w:szCs w:val="32"/>
        </w:rPr>
        <w:t>（二）</w:t>
      </w:r>
      <w:r>
        <w:rPr>
          <w:rFonts w:eastAsia="楷体_GB2312"/>
          <w:bCs/>
          <w:sz w:val="32"/>
          <w:szCs w:val="32"/>
        </w:rPr>
        <w:t>单位主要职责</w:t>
      </w:r>
    </w:p>
    <w:p w14:paraId="26F61CF5">
      <w:pPr>
        <w:spacing w:line="360" w:lineRule="auto"/>
        <w:ind w:firstLine="960" w:firstLineChars="300"/>
        <w:rPr>
          <w:rFonts w:hint="eastAsia" w:ascii="仿宋" w:hAnsi="仿宋" w:eastAsia="仿宋" w:cs="仿宋"/>
          <w:color w:val="000000"/>
          <w:sz w:val="32"/>
          <w:szCs w:val="32"/>
          <w:shd w:val="clear" w:color="auto" w:fill="FFFFFF"/>
        </w:rPr>
      </w:pPr>
      <w:bookmarkStart w:id="0" w:name="FUNCRESP"/>
      <w:r>
        <w:rPr>
          <w:rFonts w:hint="eastAsia" w:ascii="仿宋" w:hAnsi="仿宋" w:eastAsia="仿宋" w:cs="仿宋"/>
          <w:color w:val="000000"/>
          <w:sz w:val="32"/>
          <w:szCs w:val="32"/>
          <w:shd w:val="clear" w:color="auto" w:fill="FFFFFF"/>
        </w:rPr>
        <w:t>学习、宣传和研究马列主义、毛泽东思想、邓小平理论、“三个代表”重要思想和科学发展观，重点研究宣传习近平新时代中国特色社会主义思想。轮训全县科级领导干部，培训中青年后备干部，实施国家公务员的任职培训和在职培训，培训意识形态领域的领导干部和理论骨干。负责全县民主党派和工商联骨干、无党派民主人士和统一战线其他方面代表人士以及统战部门干部的培训、轮训工作;举办县科级领导干部培训班，承办机关、事业、企业干部职工业务培训，共青团干部、妇女干部业务培训。会同组织人事部门，对学员在校期间的学习和党性锻炼情况进行考核、考察和评价，提出使用建议;开展重大理论和现实问题研究，承担县委、县政府决策咨询服务;参与县委关于党校工作政策以及干部培训计划的制定工作;接受上级党校业务指导;完成县委交办的其他任务。</w:t>
      </w:r>
      <w:bookmarkEnd w:id="0"/>
    </w:p>
    <w:p w14:paraId="2134B021">
      <w:pPr>
        <w:snapToGrid w:val="0"/>
        <w:spacing w:line="520" w:lineRule="exact"/>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二、部门整体支出管理及使用情况</w:t>
      </w:r>
    </w:p>
    <w:p w14:paraId="362FC04A">
      <w:pPr>
        <w:pStyle w:val="7"/>
        <w:widowControl/>
        <w:spacing w:line="600" w:lineRule="exact"/>
        <w:ind w:left="640" w:firstLine="0" w:firstLineChars="0"/>
        <w:rPr>
          <w:rFonts w:eastAsia="楷体_GB2312"/>
          <w:sz w:val="32"/>
          <w:szCs w:val="32"/>
        </w:rPr>
      </w:pPr>
      <w:r>
        <w:rPr>
          <w:rFonts w:eastAsia="楷体_GB2312"/>
          <w:sz w:val="32"/>
          <w:szCs w:val="32"/>
        </w:rPr>
        <w:t>（一）</w:t>
      </w:r>
      <w:r>
        <w:rPr>
          <w:rFonts w:hint="eastAsia" w:eastAsia="楷体_GB2312"/>
          <w:sz w:val="32"/>
          <w:szCs w:val="32"/>
        </w:rPr>
        <w:t>部门</w:t>
      </w:r>
      <w:r>
        <w:rPr>
          <w:rFonts w:eastAsia="楷体_GB2312"/>
          <w:sz w:val="32"/>
          <w:szCs w:val="32"/>
        </w:rPr>
        <w:t>预决算情况</w:t>
      </w:r>
    </w:p>
    <w:p w14:paraId="09E0F343">
      <w:pPr>
        <w:spacing w:line="600" w:lineRule="exact"/>
        <w:ind w:firstLine="640" w:firstLineChars="200"/>
        <w:rPr>
          <w:sz w:val="32"/>
          <w:szCs w:val="32"/>
        </w:rPr>
      </w:pPr>
      <w:r>
        <w:rPr>
          <w:sz w:val="32"/>
          <w:szCs w:val="32"/>
        </w:rPr>
        <w:t>1.部门预算情况</w:t>
      </w:r>
    </w:p>
    <w:p w14:paraId="5206DA8D">
      <w:pPr>
        <w:spacing w:line="600" w:lineRule="exact"/>
        <w:ind w:firstLine="640" w:firstLineChars="200"/>
        <w:rPr>
          <w:sz w:val="32"/>
          <w:szCs w:val="32"/>
        </w:rPr>
      </w:pPr>
      <w:r>
        <w:rPr>
          <w:sz w:val="32"/>
          <w:szCs w:val="32"/>
        </w:rPr>
        <w:t>2023年年初预算安排收入</w:t>
      </w:r>
      <w:r>
        <w:rPr>
          <w:rFonts w:hint="eastAsia"/>
          <w:sz w:val="32"/>
          <w:szCs w:val="32"/>
          <w:lang w:val="en-US" w:eastAsia="zh-CN"/>
        </w:rPr>
        <w:t xml:space="preserve"> 249.54</w:t>
      </w:r>
      <w:r>
        <w:rPr>
          <w:sz w:val="32"/>
          <w:szCs w:val="32"/>
        </w:rPr>
        <w:t>万元，其中一般公共财政拨款</w:t>
      </w:r>
      <w:r>
        <w:rPr>
          <w:rFonts w:hint="eastAsia"/>
          <w:sz w:val="32"/>
          <w:szCs w:val="32"/>
          <w:lang w:val="en-US" w:eastAsia="zh-CN"/>
        </w:rPr>
        <w:t>249.54</w:t>
      </w:r>
      <w:r>
        <w:rPr>
          <w:sz w:val="32"/>
          <w:szCs w:val="32"/>
        </w:rPr>
        <w:t>万元；2023年年初预算安排支出</w:t>
      </w:r>
      <w:r>
        <w:rPr>
          <w:rFonts w:hint="eastAsia"/>
          <w:sz w:val="32"/>
          <w:szCs w:val="32"/>
          <w:lang w:val="en-US" w:eastAsia="zh-CN"/>
        </w:rPr>
        <w:t>249.54</w:t>
      </w:r>
      <w:r>
        <w:rPr>
          <w:sz w:val="32"/>
          <w:szCs w:val="32"/>
        </w:rPr>
        <w:t>万元，其中：基本支出</w:t>
      </w:r>
      <w:r>
        <w:rPr>
          <w:rFonts w:hint="eastAsia"/>
          <w:sz w:val="32"/>
          <w:szCs w:val="32"/>
          <w:lang w:val="en-US" w:eastAsia="zh-CN"/>
        </w:rPr>
        <w:t xml:space="preserve"> 222.54</w:t>
      </w:r>
      <w:r>
        <w:rPr>
          <w:sz w:val="32"/>
          <w:szCs w:val="32"/>
        </w:rPr>
        <w:t>万元，项目支出</w:t>
      </w:r>
      <w:r>
        <w:rPr>
          <w:rFonts w:hint="eastAsia"/>
          <w:sz w:val="32"/>
          <w:szCs w:val="32"/>
          <w:lang w:val="en-US" w:eastAsia="zh-CN"/>
        </w:rPr>
        <w:t xml:space="preserve"> 27</w:t>
      </w:r>
      <w:r>
        <w:rPr>
          <w:sz w:val="32"/>
          <w:szCs w:val="32"/>
        </w:rPr>
        <w:t>万元。</w:t>
      </w:r>
    </w:p>
    <w:p w14:paraId="6431FBAF">
      <w:pPr>
        <w:spacing w:line="600" w:lineRule="exact"/>
        <w:ind w:firstLine="640" w:firstLineChars="200"/>
        <w:rPr>
          <w:sz w:val="32"/>
          <w:szCs w:val="32"/>
        </w:rPr>
      </w:pPr>
      <w:r>
        <w:rPr>
          <w:sz w:val="32"/>
          <w:szCs w:val="32"/>
        </w:rPr>
        <w:t>2.部门决算情况（含年中预算追加情况）</w:t>
      </w:r>
    </w:p>
    <w:p w14:paraId="4670CB73">
      <w:pPr>
        <w:spacing w:line="600" w:lineRule="exact"/>
        <w:ind w:left="638" w:leftChars="228" w:firstLine="0" w:firstLineChars="0"/>
        <w:rPr>
          <w:rFonts w:hint="default" w:eastAsia="仿宋_GB2312"/>
          <w:sz w:val="32"/>
          <w:szCs w:val="32"/>
          <w:lang w:val="en-US" w:eastAsia="zh-CN"/>
        </w:rPr>
      </w:pPr>
      <w:r>
        <w:rPr>
          <w:sz w:val="32"/>
          <w:szCs w:val="32"/>
        </w:rPr>
        <w:t>2023年决算总收入</w:t>
      </w:r>
      <w:r>
        <w:rPr>
          <w:rFonts w:hint="eastAsia"/>
          <w:sz w:val="32"/>
          <w:szCs w:val="32"/>
          <w:lang w:val="en-US" w:eastAsia="zh-CN"/>
        </w:rPr>
        <w:t xml:space="preserve"> 410.57</w:t>
      </w:r>
      <w:r>
        <w:rPr>
          <w:sz w:val="32"/>
          <w:szCs w:val="32"/>
        </w:rPr>
        <w:t>万元，较预算增加</w:t>
      </w:r>
      <w:r>
        <w:rPr>
          <w:rFonts w:hint="eastAsia"/>
          <w:sz w:val="32"/>
          <w:szCs w:val="32"/>
          <w:lang w:val="en-US" w:eastAsia="zh-CN"/>
        </w:rPr>
        <w:t xml:space="preserve"> 161.03</w:t>
      </w:r>
      <w:r>
        <w:rPr>
          <w:sz w:val="32"/>
          <w:szCs w:val="32"/>
        </w:rPr>
        <w:t>万元，总支出</w:t>
      </w:r>
      <w:r>
        <w:rPr>
          <w:rFonts w:hint="eastAsia"/>
          <w:sz w:val="32"/>
          <w:szCs w:val="32"/>
          <w:lang w:val="en-US" w:eastAsia="zh-CN"/>
        </w:rPr>
        <w:t>410.57</w:t>
      </w:r>
      <w:r>
        <w:rPr>
          <w:sz w:val="32"/>
          <w:szCs w:val="32"/>
        </w:rPr>
        <w:t>万元，其中：基本支出</w:t>
      </w:r>
      <w:r>
        <w:rPr>
          <w:rFonts w:hint="eastAsia"/>
          <w:sz w:val="32"/>
          <w:szCs w:val="32"/>
          <w:lang w:val="en-US" w:eastAsia="zh-CN"/>
        </w:rPr>
        <w:t xml:space="preserve"> 383.57 </w:t>
      </w:r>
      <w:r>
        <w:rPr>
          <w:sz w:val="32"/>
          <w:szCs w:val="32"/>
        </w:rPr>
        <w:t>万元，占总支出的</w:t>
      </w:r>
      <w:r>
        <w:rPr>
          <w:rFonts w:hint="eastAsia"/>
          <w:sz w:val="32"/>
          <w:szCs w:val="32"/>
          <w:lang w:val="en-US" w:eastAsia="zh-CN"/>
        </w:rPr>
        <w:t xml:space="preserve"> 93</w:t>
      </w:r>
      <w:r>
        <w:rPr>
          <w:sz w:val="32"/>
          <w:szCs w:val="32"/>
        </w:rPr>
        <w:t>％；项目支出</w:t>
      </w:r>
      <w:r>
        <w:rPr>
          <w:rFonts w:hint="eastAsia"/>
          <w:sz w:val="32"/>
          <w:szCs w:val="32"/>
          <w:lang w:val="en-US" w:eastAsia="zh-CN"/>
        </w:rPr>
        <w:t xml:space="preserve"> 27</w:t>
      </w:r>
      <w:r>
        <w:rPr>
          <w:sz w:val="32"/>
          <w:szCs w:val="32"/>
        </w:rPr>
        <w:t>万元，占总支出的</w:t>
      </w:r>
      <w:r>
        <w:rPr>
          <w:rFonts w:hint="eastAsia"/>
          <w:sz w:val="32"/>
          <w:szCs w:val="32"/>
          <w:lang w:val="en-US" w:eastAsia="zh-CN"/>
        </w:rPr>
        <w:t>7</w:t>
      </w:r>
      <w:r>
        <w:rPr>
          <w:sz w:val="32"/>
          <w:szCs w:val="32"/>
        </w:rPr>
        <w:t>％。差异产生的主要原因是</w:t>
      </w:r>
      <w:r>
        <w:rPr>
          <w:rFonts w:hint="eastAsia"/>
          <w:sz w:val="32"/>
          <w:szCs w:val="32"/>
          <w:lang w:val="en-US" w:eastAsia="zh-CN"/>
        </w:rPr>
        <w:t>增加人员经费。</w:t>
      </w:r>
    </w:p>
    <w:p w14:paraId="5E7BEC25">
      <w:pPr>
        <w:spacing w:line="600" w:lineRule="exact"/>
        <w:ind w:firstLine="640" w:firstLineChars="200"/>
        <w:rPr>
          <w:rFonts w:eastAsia="楷体_GB2312"/>
          <w:sz w:val="32"/>
          <w:szCs w:val="32"/>
        </w:rPr>
      </w:pPr>
      <w:r>
        <w:rPr>
          <w:rFonts w:eastAsia="楷体_GB2312"/>
          <w:sz w:val="32"/>
          <w:szCs w:val="32"/>
        </w:rPr>
        <w:t>（二）部门预算执行情况</w:t>
      </w:r>
    </w:p>
    <w:p w14:paraId="287CDF52">
      <w:pPr>
        <w:spacing w:line="600" w:lineRule="exact"/>
        <w:ind w:firstLine="640" w:firstLineChars="200"/>
        <w:rPr>
          <w:sz w:val="32"/>
          <w:szCs w:val="32"/>
        </w:rPr>
      </w:pPr>
      <w:r>
        <w:rPr>
          <w:rFonts w:hint="eastAsia"/>
          <w:sz w:val="32"/>
          <w:szCs w:val="32"/>
        </w:rPr>
        <w:t>1</w:t>
      </w:r>
      <w:r>
        <w:rPr>
          <w:sz w:val="32"/>
          <w:szCs w:val="32"/>
        </w:rPr>
        <w:t>.“三公</w:t>
      </w:r>
      <w:r>
        <w:rPr>
          <w:rFonts w:hint="eastAsia"/>
          <w:sz w:val="32"/>
          <w:szCs w:val="32"/>
        </w:rPr>
        <w:t>”</w:t>
      </w:r>
      <w:r>
        <w:rPr>
          <w:sz w:val="32"/>
          <w:szCs w:val="32"/>
        </w:rPr>
        <w:t>经费执行情况</w:t>
      </w:r>
    </w:p>
    <w:p w14:paraId="2B90E84F">
      <w:pPr>
        <w:spacing w:line="600" w:lineRule="exact"/>
        <w:ind w:firstLine="640" w:firstLineChars="200"/>
        <w:rPr>
          <w:sz w:val="32"/>
          <w:szCs w:val="32"/>
        </w:rPr>
      </w:pPr>
      <w:r>
        <w:rPr>
          <w:sz w:val="32"/>
          <w:szCs w:val="32"/>
        </w:rPr>
        <w:t>2023年“三公</w:t>
      </w:r>
      <w:r>
        <w:rPr>
          <w:rFonts w:hint="eastAsia"/>
          <w:sz w:val="32"/>
          <w:szCs w:val="32"/>
        </w:rPr>
        <w:t>”</w:t>
      </w:r>
      <w:r>
        <w:rPr>
          <w:sz w:val="32"/>
          <w:szCs w:val="32"/>
        </w:rPr>
        <w:t>经费预算数</w:t>
      </w:r>
      <w:r>
        <w:rPr>
          <w:rFonts w:hint="eastAsia"/>
          <w:sz w:val="32"/>
          <w:szCs w:val="32"/>
          <w:lang w:val="en-US" w:eastAsia="zh-CN"/>
        </w:rPr>
        <w:t xml:space="preserve"> 2</w:t>
      </w:r>
      <w:r>
        <w:rPr>
          <w:sz w:val="32"/>
          <w:szCs w:val="32"/>
        </w:rPr>
        <w:t>万元，其中：因公出国（境）费</w:t>
      </w:r>
      <w:r>
        <w:rPr>
          <w:rFonts w:hint="eastAsia"/>
          <w:sz w:val="32"/>
          <w:szCs w:val="32"/>
        </w:rPr>
        <w:t>0</w:t>
      </w:r>
      <w:r>
        <w:rPr>
          <w:sz w:val="32"/>
          <w:szCs w:val="32"/>
        </w:rPr>
        <w:t>万元，公务用车购置及运行维护费</w:t>
      </w:r>
      <w:r>
        <w:rPr>
          <w:rFonts w:hint="eastAsia"/>
          <w:sz w:val="32"/>
          <w:szCs w:val="32"/>
          <w:lang w:val="en-US" w:eastAsia="zh-CN"/>
        </w:rPr>
        <w:t>0</w:t>
      </w:r>
      <w:r>
        <w:rPr>
          <w:sz w:val="32"/>
          <w:szCs w:val="32"/>
        </w:rPr>
        <w:t>万元，公务接待费</w:t>
      </w:r>
      <w:r>
        <w:rPr>
          <w:rFonts w:hint="eastAsia"/>
          <w:sz w:val="32"/>
          <w:szCs w:val="32"/>
          <w:lang w:val="en-US" w:eastAsia="zh-CN"/>
        </w:rPr>
        <w:t xml:space="preserve"> 2 </w:t>
      </w:r>
      <w:r>
        <w:rPr>
          <w:sz w:val="32"/>
          <w:szCs w:val="32"/>
        </w:rPr>
        <w:t>万元。“三公</w:t>
      </w:r>
      <w:r>
        <w:rPr>
          <w:rFonts w:hint="eastAsia"/>
          <w:sz w:val="32"/>
          <w:szCs w:val="32"/>
        </w:rPr>
        <w:t>”</w:t>
      </w:r>
      <w:r>
        <w:rPr>
          <w:sz w:val="32"/>
          <w:szCs w:val="32"/>
        </w:rPr>
        <w:t>经费决算数</w:t>
      </w:r>
      <w:r>
        <w:rPr>
          <w:rFonts w:hint="eastAsia"/>
          <w:sz w:val="32"/>
          <w:szCs w:val="32"/>
          <w:lang w:val="en-US" w:eastAsia="zh-CN"/>
        </w:rPr>
        <w:t xml:space="preserve">1.83 </w:t>
      </w:r>
      <w:r>
        <w:rPr>
          <w:sz w:val="32"/>
          <w:szCs w:val="32"/>
        </w:rPr>
        <w:t>元，其中：因公出国（境）费</w:t>
      </w:r>
      <w:r>
        <w:rPr>
          <w:rFonts w:hint="eastAsia"/>
          <w:sz w:val="32"/>
          <w:szCs w:val="32"/>
        </w:rPr>
        <w:t>0</w:t>
      </w:r>
      <w:r>
        <w:rPr>
          <w:sz w:val="32"/>
          <w:szCs w:val="32"/>
        </w:rPr>
        <w:t>万元，公务用车运行维护费</w:t>
      </w:r>
      <w:r>
        <w:rPr>
          <w:rFonts w:hint="eastAsia"/>
          <w:sz w:val="32"/>
          <w:szCs w:val="32"/>
        </w:rPr>
        <w:t>0</w:t>
      </w:r>
      <w:r>
        <w:rPr>
          <w:sz w:val="32"/>
          <w:szCs w:val="32"/>
        </w:rPr>
        <w:t>万元，公务接待费</w:t>
      </w:r>
      <w:r>
        <w:rPr>
          <w:rFonts w:hint="eastAsia"/>
          <w:sz w:val="32"/>
          <w:szCs w:val="32"/>
          <w:lang w:val="en-US" w:eastAsia="zh-CN"/>
        </w:rPr>
        <w:t>1.83</w:t>
      </w:r>
      <w:r>
        <w:rPr>
          <w:sz w:val="32"/>
          <w:szCs w:val="32"/>
        </w:rPr>
        <w:t>万元。</w:t>
      </w:r>
    </w:p>
    <w:p w14:paraId="7491DE0A">
      <w:pPr>
        <w:spacing w:line="600" w:lineRule="exact"/>
        <w:ind w:firstLine="640" w:firstLineChars="200"/>
        <w:rPr>
          <w:sz w:val="32"/>
          <w:szCs w:val="32"/>
        </w:rPr>
      </w:pPr>
      <w:r>
        <w:rPr>
          <w:rFonts w:hint="eastAsia"/>
          <w:sz w:val="32"/>
          <w:szCs w:val="32"/>
        </w:rPr>
        <w:t>2</w:t>
      </w:r>
      <w:r>
        <w:rPr>
          <w:sz w:val="32"/>
          <w:szCs w:val="32"/>
        </w:rPr>
        <w:t>.政府采购执行情况</w:t>
      </w:r>
    </w:p>
    <w:p w14:paraId="630008DD">
      <w:pPr>
        <w:spacing w:line="600" w:lineRule="exact"/>
        <w:ind w:firstLine="640" w:firstLineChars="200"/>
        <w:rPr>
          <w:rFonts w:ascii="楷体_GB2312" w:eastAsia="楷体_GB2312" w:cs="楷体_GB2312"/>
          <w:color w:val="000000"/>
          <w:sz w:val="32"/>
          <w:szCs w:val="32"/>
        </w:rPr>
      </w:pPr>
      <w:r>
        <w:rPr>
          <w:sz w:val="32"/>
          <w:szCs w:val="32"/>
        </w:rPr>
        <w:t>2023年度政府采购支出</w:t>
      </w:r>
      <w:r>
        <w:rPr>
          <w:rFonts w:hint="eastAsia"/>
          <w:sz w:val="32"/>
          <w:szCs w:val="32"/>
        </w:rPr>
        <w:t>0</w:t>
      </w:r>
      <w:r>
        <w:rPr>
          <w:sz w:val="32"/>
          <w:szCs w:val="32"/>
        </w:rPr>
        <w:t>万元，其中：货物</w:t>
      </w:r>
      <w:r>
        <w:rPr>
          <w:rFonts w:hint="eastAsia"/>
          <w:sz w:val="32"/>
          <w:szCs w:val="32"/>
        </w:rPr>
        <w:t>0</w:t>
      </w:r>
      <w:r>
        <w:rPr>
          <w:sz w:val="32"/>
          <w:szCs w:val="32"/>
        </w:rPr>
        <w:t>元，工程</w:t>
      </w:r>
      <w:r>
        <w:rPr>
          <w:rFonts w:hint="eastAsia"/>
          <w:sz w:val="32"/>
          <w:szCs w:val="32"/>
        </w:rPr>
        <w:t>0</w:t>
      </w:r>
      <w:r>
        <w:rPr>
          <w:sz w:val="32"/>
          <w:szCs w:val="32"/>
        </w:rPr>
        <w:t>万元，服务</w:t>
      </w:r>
      <w:r>
        <w:rPr>
          <w:rFonts w:hint="eastAsia"/>
          <w:sz w:val="32"/>
          <w:szCs w:val="32"/>
        </w:rPr>
        <w:t>0</w:t>
      </w:r>
      <w:r>
        <w:rPr>
          <w:sz w:val="32"/>
          <w:szCs w:val="32"/>
        </w:rPr>
        <w:t>万元。</w:t>
      </w:r>
    </w:p>
    <w:p w14:paraId="039E73B6">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449C2CE9">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666542C0">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3165C356">
      <w:pPr>
        <w:pStyle w:val="4"/>
        <w:widowControl/>
        <w:shd w:val="clear" w:color="auto" w:fill="FFFFFF"/>
        <w:snapToGrid w:val="0"/>
        <w:spacing w:beforeAutospacing="0" w:afterAutospacing="0" w:line="520" w:lineRule="exact"/>
        <w:ind w:firstLine="640" w:firstLineChars="200"/>
        <w:rPr>
          <w:rFonts w:ascii="黑体" w:hAnsi="黑体" w:eastAsia="黑体" w:cs="黑体"/>
          <w:color w:val="000000"/>
          <w:sz w:val="32"/>
          <w:szCs w:val="32"/>
          <w:shd w:val="clear" w:color="auto" w:fill="FFFFFF"/>
        </w:rPr>
      </w:pPr>
      <w:r>
        <w:rPr>
          <w:rFonts w:hint="eastAsia"/>
          <w:sz w:val="32"/>
          <w:szCs w:val="32"/>
        </w:rPr>
        <w:t>无。</w:t>
      </w:r>
    </w:p>
    <w:p w14:paraId="0D2B8D58">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586B3791">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591DF36C">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1A4A0D30">
      <w:pPr>
        <w:ind w:firstLine="643" w:firstLineChars="200"/>
        <w:rPr>
          <w:rFonts w:ascii="仿宋" w:hAnsi="仿宋" w:eastAsia="仿宋"/>
          <w:sz w:val="32"/>
          <w:szCs w:val="32"/>
        </w:rPr>
      </w:pPr>
      <w:r>
        <w:rPr>
          <w:rFonts w:hint="eastAsia" w:ascii="华文楷体" w:hAnsi="华文楷体" w:eastAsia="华文楷体" w:cs="华文楷体"/>
          <w:b/>
          <w:sz w:val="32"/>
          <w:szCs w:val="32"/>
        </w:rPr>
        <w:t>（一）绩效目标完成情况：</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14:paraId="72FF3BCD">
      <w:pPr>
        <w:spacing w:line="570" w:lineRule="exact"/>
        <w:ind w:firstLine="643"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（二）反映履职效益情况：</w:t>
      </w:r>
    </w:p>
    <w:p w14:paraId="3FBB47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一、加强科研工作。</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开展集体备课活动。确定课题后，通过集中讨论修改与自行备课相结合的方式，确保备课质量。</w:t>
      </w:r>
      <w:r>
        <w:rPr>
          <w:rFonts w:hint="eastAsia" w:ascii="楷体_GB2312" w:hAnsi="楷体_GB2312" w:eastAsia="楷体_GB2312" w:cs="楷体_GB2312"/>
          <w:sz w:val="32"/>
          <w:szCs w:val="32"/>
          <w:lang w:val="en-US" w:eastAsia="zh-CN"/>
        </w:rPr>
        <w:t>二是</w:t>
      </w:r>
      <w:r>
        <w:rPr>
          <w:rFonts w:hint="eastAsia" w:ascii="仿宋_GB2312" w:hAnsi="仿宋_GB2312" w:eastAsia="仿宋_GB2312" w:cs="仿宋_GB2312"/>
          <w:sz w:val="32"/>
          <w:szCs w:val="32"/>
          <w:lang w:val="en-US" w:eastAsia="zh-CN"/>
        </w:rPr>
        <w:t>开展科研活动。为进一步提升备课授课能力，今年3月至4月中旬，历时1个半月，全体干部职工分为三个组，开展了大调研活动，真正做到“教学出题目、科研做文章、成果进课堂、咨询服务决策”。今年已完成多个调研成果，其中《创建南山国家公园对城步旅游产业发展的挑战和机遇分析》《中国共产党与百年未有之大变局》等两篇优秀在市获奖。</w:t>
      </w:r>
      <w:r>
        <w:rPr>
          <w:rFonts w:hint="eastAsia" w:ascii="楷体_GB2312" w:hAnsi="楷体_GB2312" w:eastAsia="楷体_GB2312" w:cs="楷体_GB2312"/>
          <w:sz w:val="32"/>
          <w:szCs w:val="32"/>
          <w:lang w:val="en-US" w:eastAsia="zh-CN"/>
        </w:rPr>
        <w:t>三是</w:t>
      </w:r>
      <w:r>
        <w:rPr>
          <w:rFonts w:hint="eastAsia" w:ascii="仿宋_GB2312" w:hAnsi="仿宋_GB2312" w:eastAsia="仿宋_GB2312" w:cs="仿宋_GB2312"/>
          <w:sz w:val="32"/>
          <w:szCs w:val="32"/>
          <w:lang w:val="en-US" w:eastAsia="zh-CN"/>
        </w:rPr>
        <w:t>开展公开课活动。通过组织全体干部职工参加教学比武，促进教学水平大提升。今年，我校选派王海霞赴市参加教学比武，荣获三等奖。</w:t>
      </w:r>
    </w:p>
    <w:p w14:paraId="73B44A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28"/>
          <w:szCs w:val="28"/>
          <w:lang w:eastAsia="zh-CN"/>
        </w:rPr>
      </w:pPr>
      <w:r>
        <w:rPr>
          <w:rFonts w:hint="eastAsia" w:ascii="楷体" w:hAnsi="楷体" w:eastAsia="楷体" w:cs="楷体"/>
          <w:b/>
          <w:bCs/>
          <w:sz w:val="32"/>
          <w:szCs w:val="32"/>
          <w:lang w:val="en-US" w:eastAsia="zh-CN"/>
        </w:rPr>
        <w:t>二、加强培训工作。</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超额完成培训任务，今年计划完成14期培训任务，其中4期主体培训班，10期短期培训班。实际完成了</w:t>
      </w:r>
      <w:r>
        <w:rPr>
          <w:rFonts w:hint="eastAsia" w:ascii="仿宋_GB2312" w:hAnsi="仿宋_GB2312" w:eastAsia="仿宋_GB2312" w:cs="仿宋_GB2312"/>
          <w:sz w:val="28"/>
          <w:szCs w:val="28"/>
        </w:rPr>
        <w:t>2</w:t>
      </w:r>
      <w:r>
        <w:rPr>
          <w:rFonts w:hint="eastAsia" w:ascii="仿宋_GB2312" w:hAnsi="仿宋_GB2312" w:eastAsia="仿宋_GB2312" w:cs="仿宋_GB2312"/>
          <w:sz w:val="32"/>
          <w:szCs w:val="32"/>
          <w:lang w:val="en-US" w:eastAsia="zh-CN"/>
        </w:rPr>
        <w:t>0期培训任务，培训2248人。其中两期中青班和两期科干班培训人数达116人；两期全县村党组织书记和村委会主任培训人数达180人，进一步提高了党组织的先进性和纯洁性，加强了基层战斗堡垒作用。二是围绕党的二十大精神设置课程。教师</w:t>
      </w:r>
      <w:bookmarkStart w:id="1" w:name="_GoBack"/>
      <w:bookmarkEnd w:id="1"/>
      <w:r>
        <w:rPr>
          <w:rFonts w:hint="eastAsia" w:ascii="仿宋_GB2312" w:hAnsi="仿宋_GB2312" w:eastAsia="仿宋_GB2312" w:cs="仿宋_GB2312"/>
          <w:sz w:val="32"/>
          <w:szCs w:val="32"/>
          <w:lang w:val="en-US" w:eastAsia="zh-CN"/>
        </w:rPr>
        <w:t>深入学习</w:t>
      </w:r>
      <w:r>
        <w:rPr>
          <w:rFonts w:hint="eastAsia" w:ascii="仿宋_GB2312" w:hAnsi="仿宋_GB2312" w:cs="仿宋_GB2312"/>
          <w:sz w:val="32"/>
          <w:szCs w:val="32"/>
          <w:lang w:val="en-US" w:eastAsia="zh-CN"/>
        </w:rPr>
        <w:t>贯彻</w:t>
      </w:r>
      <w:r>
        <w:rPr>
          <w:rFonts w:hint="eastAsia" w:ascii="仿宋_GB2312" w:hAnsi="仿宋_GB2312" w:eastAsia="仿宋_GB2312" w:cs="仿宋_GB2312"/>
          <w:sz w:val="32"/>
          <w:szCs w:val="32"/>
          <w:lang w:val="en-US" w:eastAsia="zh-CN"/>
        </w:rPr>
        <w:t>党的二十大精神，结合我县实际，备了《中国共产党的自我革命》、《坚持全面依法治国 推进法治中国建设》、《以中国式现代化</w:t>
      </w:r>
      <w:r>
        <w:rPr>
          <w:rFonts w:hint="eastAsia" w:ascii="仿宋_GB2312" w:hAnsi="仿宋_GB2312" w:cs="仿宋_GB2312"/>
          <w:sz w:val="32"/>
          <w:szCs w:val="32"/>
          <w:lang w:val="en-US" w:eastAsia="zh-CN"/>
        </w:rPr>
        <w:t>全面</w:t>
      </w:r>
      <w:r>
        <w:rPr>
          <w:rFonts w:hint="eastAsia" w:ascii="仿宋_GB2312" w:hAnsi="仿宋_GB2312" w:eastAsia="仿宋_GB2312" w:cs="仿宋_GB2312"/>
          <w:sz w:val="32"/>
          <w:szCs w:val="32"/>
          <w:lang w:val="en-US" w:eastAsia="zh-CN"/>
        </w:rPr>
        <w:t>推进中华民族伟大复兴》、《党章解读》,《宪法解读》、《增强双碳意识，推进双碳工作》等专题，课题更新率也达到了40%，授课内容在主体班深受学员的好评。做到紧紧围绕中心服务，践行为党育才、为党献策的的党校初心。</w:t>
      </w:r>
      <w:r>
        <w:rPr>
          <w:rFonts w:hint="eastAsia" w:ascii="楷体_GB2312" w:hAnsi="楷体_GB2312" w:eastAsia="楷体_GB2312" w:cs="楷体_GB2312"/>
          <w:sz w:val="32"/>
          <w:szCs w:val="32"/>
          <w:lang w:val="en-US" w:eastAsia="zh-CN"/>
        </w:rPr>
        <w:t>三是</w:t>
      </w:r>
      <w:r>
        <w:rPr>
          <w:rFonts w:hint="eastAsia" w:ascii="仿宋" w:hAnsi="仿宋" w:eastAsia="仿宋" w:cs="仿宋"/>
          <w:b w:val="0"/>
          <w:bCs w:val="0"/>
          <w:sz w:val="32"/>
          <w:szCs w:val="32"/>
          <w:lang w:val="en-US" w:eastAsia="zh-CN"/>
        </w:rPr>
        <w:t>外聘党政主要领导授课增强师资力量。为落实《中国共产党党校工作条例》的党政领导干部到党校讲课的精神，外聘党政主要领导授课率达到了40%，提升了办学水平。四是积极开展异地教学。为进一步强党性，积极开展异地红色基地教学。上半年带领中青班全体学员赴白毛坪和平村及大阳村开展乡村振兴实地教学，到卡田村开展民族文化实地教学。下半年带领科干班全体学员赴桑植县中国工农红军第二方面军长征出发地纪念馆、贺龙故居、贺龙纪念馆，芷江县中国人民抗日战争胜利受降纪念馆及飞虎纪念馆等地开展实地教学，深刻感悟了实事求是、敢于斗争、独立自主、勇于担当的老一辈无产阶级革命精神，进一步增强了党性。</w:t>
      </w:r>
    </w:p>
    <w:p w14:paraId="432148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w:t>
      </w:r>
      <w:r>
        <w:rPr>
          <w:rFonts w:hint="eastAsia" w:ascii="仿宋_GB2312" w:hAnsi="仿宋_GB2312" w:cs="仿宋_GB2312"/>
          <w:sz w:val="32"/>
          <w:szCs w:val="32"/>
          <w:lang w:val="en-US" w:eastAsia="zh-CN"/>
        </w:rPr>
        <w:t>、</w:t>
      </w:r>
      <w:r>
        <w:rPr>
          <w:rFonts w:hint="eastAsia" w:ascii="楷体" w:hAnsi="楷体" w:eastAsia="楷体" w:cs="楷体"/>
          <w:b/>
          <w:bCs/>
          <w:sz w:val="32"/>
          <w:szCs w:val="32"/>
          <w:lang w:val="en-US" w:eastAsia="zh-CN"/>
        </w:rPr>
        <w:t>加强乡村振兴工作。</w:t>
      </w:r>
      <w:r>
        <w:rPr>
          <w:rFonts w:hint="eastAsia" w:ascii="仿宋" w:hAnsi="仿宋" w:eastAsia="仿宋" w:cs="仿宋"/>
          <w:b w:val="0"/>
          <w:bCs w:val="0"/>
          <w:sz w:val="32"/>
          <w:szCs w:val="32"/>
          <w:lang w:val="en-US" w:eastAsia="zh-CN"/>
        </w:rPr>
        <w:t>2023年胜利村乡村振兴工作以巩固脱贫攻坚成果，推动乡村振兴为目标，通过驻村工作队与村支“两委”共同努力，按照“产业兴旺、生态宜居、乡风文明、治理有效、生活富裕”的总要求，扎实推进各项工作。</w:t>
      </w:r>
      <w:r>
        <w:rPr>
          <w:rFonts w:hint="eastAsia" w:ascii="楷体_GB2312" w:hAnsi="楷体_GB2312" w:eastAsia="楷体_GB2312" w:cs="楷体_GB2312"/>
          <w:sz w:val="32"/>
          <w:szCs w:val="32"/>
          <w:lang w:val="en-US" w:eastAsia="zh-CN"/>
        </w:rPr>
        <w:t>一是</w:t>
      </w:r>
      <w:r>
        <w:rPr>
          <w:rFonts w:hint="eastAsia" w:ascii="仿宋" w:hAnsi="仿宋" w:eastAsia="仿宋" w:cs="仿宋"/>
          <w:b w:val="0"/>
          <w:bCs w:val="0"/>
          <w:sz w:val="32"/>
          <w:szCs w:val="32"/>
          <w:lang w:val="en-US" w:eastAsia="zh-CN"/>
        </w:rPr>
        <w:t>选强配优驻村工作队。6月，根据县统一安排，县委党校对新调整的胜利村实施帮扶</w:t>
      </w:r>
      <w:r>
        <w:rPr>
          <w:rFonts w:hint="eastAsia" w:ascii="仿宋" w:hAnsi="仿宋" w:eastAsia="仿宋" w:cs="仿宋"/>
          <w:sz w:val="32"/>
          <w:szCs w:val="32"/>
          <w:lang w:val="en-US" w:eastAsia="zh-CN"/>
        </w:rPr>
        <w:t>，选派思想政治过硬、农村工作经验丰富的罗金平同志为</w:t>
      </w:r>
      <w:r>
        <w:rPr>
          <w:rFonts w:hint="eastAsia" w:ascii="仿宋" w:hAnsi="仿宋" w:eastAsia="仿宋" w:cs="仿宋"/>
          <w:b w:val="0"/>
          <w:bCs w:val="0"/>
          <w:sz w:val="32"/>
          <w:szCs w:val="32"/>
          <w:lang w:val="en-US" w:eastAsia="zh-CN"/>
        </w:rPr>
        <w:t>工作队长，</w:t>
      </w:r>
      <w:r>
        <w:rPr>
          <w:rFonts w:hint="eastAsia" w:ascii="仿宋" w:hAnsi="仿宋" w:eastAsia="仿宋" w:cs="仿宋"/>
          <w:sz w:val="32"/>
          <w:szCs w:val="32"/>
          <w:lang w:val="en-US" w:eastAsia="zh-CN"/>
        </w:rPr>
        <w:t>教育长李振江和</w:t>
      </w:r>
      <w:r>
        <w:rPr>
          <w:rFonts w:hint="eastAsia" w:ascii="仿宋" w:hAnsi="仿宋" w:eastAsia="仿宋" w:cs="仿宋"/>
          <w:b w:val="0"/>
          <w:bCs w:val="0"/>
          <w:sz w:val="32"/>
          <w:szCs w:val="32"/>
          <w:lang w:val="en-US" w:eastAsia="zh-CN"/>
        </w:rPr>
        <w:t>王祥辉</w:t>
      </w:r>
      <w:r>
        <w:rPr>
          <w:rFonts w:hint="eastAsia" w:ascii="仿宋" w:hAnsi="仿宋" w:eastAsia="仿宋" w:cs="仿宋"/>
          <w:sz w:val="32"/>
          <w:szCs w:val="32"/>
          <w:lang w:val="en-US" w:eastAsia="zh-CN"/>
        </w:rPr>
        <w:t>同志为工作队队员的驻村工作组，</w:t>
      </w:r>
      <w:r>
        <w:rPr>
          <w:rFonts w:hint="eastAsia" w:ascii="仿宋" w:hAnsi="仿宋" w:eastAsia="仿宋" w:cs="仿宋"/>
          <w:b w:val="0"/>
          <w:bCs w:val="0"/>
          <w:sz w:val="32"/>
          <w:szCs w:val="32"/>
          <w:lang w:val="en-US" w:eastAsia="zh-CN"/>
        </w:rPr>
        <w:t>实现了乡村振兴驻村帮扶工作力量的无缝对接，为积极开展乡村振兴工作打下了坚实的基础。</w:t>
      </w:r>
      <w:r>
        <w:rPr>
          <w:rFonts w:hint="eastAsia" w:ascii="楷体_GB2312" w:hAnsi="楷体_GB2312" w:eastAsia="楷体_GB2312" w:cs="楷体_GB2312"/>
          <w:sz w:val="32"/>
          <w:szCs w:val="32"/>
          <w:lang w:val="en-US" w:eastAsia="zh-CN"/>
        </w:rPr>
        <w:t>二是</w:t>
      </w:r>
      <w:r>
        <w:rPr>
          <w:rFonts w:hint="eastAsia" w:ascii="仿宋" w:hAnsi="仿宋" w:eastAsia="仿宋" w:cs="仿宋"/>
          <w:b w:val="0"/>
          <w:bCs w:val="0"/>
          <w:sz w:val="32"/>
          <w:szCs w:val="32"/>
          <w:lang w:val="en-US" w:eastAsia="zh-CN"/>
        </w:rPr>
        <w:t>改善人居环境。</w:t>
      </w:r>
      <w:r>
        <w:rPr>
          <w:rFonts w:hint="eastAsia" w:ascii="仿宋" w:hAnsi="仿宋" w:eastAsia="仿宋" w:cs="仿宋"/>
          <w:sz w:val="32"/>
          <w:szCs w:val="32"/>
          <w:lang w:val="en-US" w:eastAsia="zh-CN"/>
        </w:rPr>
        <w:t>落实油茶林基地产业道路硬化项目19万元、茶园水组道硬化20万元、义山头饮水工程18万元、冷田产业路硬化15万元等工程</w:t>
      </w:r>
      <w:r>
        <w:rPr>
          <w:rFonts w:hint="eastAsia" w:ascii="仿宋" w:hAnsi="仿宋" w:eastAsia="仿宋" w:cs="仿宋"/>
          <w:b w:val="0"/>
          <w:bCs w:val="0"/>
          <w:sz w:val="32"/>
          <w:szCs w:val="32"/>
          <w:lang w:val="en-US" w:eastAsia="zh-CN"/>
        </w:rPr>
        <w:t>，方便群众生产生活。</w:t>
      </w:r>
      <w:r>
        <w:rPr>
          <w:rFonts w:hint="eastAsia" w:ascii="楷体_GB2312" w:hAnsi="楷体_GB2312" w:eastAsia="楷体_GB2312" w:cs="楷体_GB2312"/>
          <w:sz w:val="32"/>
          <w:szCs w:val="32"/>
          <w:lang w:val="en-US" w:eastAsia="zh-CN"/>
        </w:rPr>
        <w:t>三是</w:t>
      </w:r>
      <w:r>
        <w:rPr>
          <w:rFonts w:hint="eastAsia" w:ascii="仿宋" w:hAnsi="仿宋" w:eastAsia="仿宋" w:cs="仿宋"/>
          <w:b w:val="0"/>
          <w:bCs w:val="0"/>
          <w:sz w:val="32"/>
          <w:szCs w:val="32"/>
          <w:lang w:val="en-US" w:eastAsia="zh-CN"/>
        </w:rPr>
        <w:t>发展实体产业。根据胜利村的实际情况，充分利用村现有资源，发展油茶林320亩，养殖香猪达到300头、板栗林300余亩，集体经济收入突破10万元。</w:t>
      </w:r>
    </w:p>
    <w:p w14:paraId="6E86CB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四、积极配合完成县主要工作。</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加强安全管理，积极开展平安创建工作，始终把安全工作放在首位，认真落实平安建设制度，加强校园平安建设，确保师生的人身安全和财产安全。</w:t>
      </w:r>
      <w:r>
        <w:rPr>
          <w:rFonts w:hint="eastAsia" w:ascii="楷体_GB2312" w:hAnsi="楷体_GB2312" w:eastAsia="楷体_GB2312" w:cs="楷体_GB2312"/>
          <w:sz w:val="32"/>
          <w:szCs w:val="32"/>
          <w:lang w:val="en-US" w:eastAsia="zh-CN"/>
        </w:rPr>
        <w:t>二是</w:t>
      </w:r>
      <w:r>
        <w:rPr>
          <w:rFonts w:hint="eastAsia" w:ascii="仿宋_GB2312" w:hAnsi="仿宋_GB2312" w:eastAsia="仿宋_GB2312" w:cs="仿宋_GB2312"/>
          <w:sz w:val="32"/>
          <w:szCs w:val="32"/>
          <w:lang w:val="en-US" w:eastAsia="zh-CN"/>
        </w:rPr>
        <w:t>积极开展普法工作，将普法内容纳入主体班课程教学。做好普法的学习者、宣传者、践行者。</w:t>
      </w:r>
      <w:r>
        <w:rPr>
          <w:rFonts w:hint="eastAsia" w:ascii="楷体_GB2312" w:hAnsi="楷体_GB2312" w:eastAsia="楷体_GB2312" w:cs="楷体_GB2312"/>
          <w:sz w:val="32"/>
          <w:szCs w:val="32"/>
          <w:lang w:val="en-US" w:eastAsia="zh-CN"/>
        </w:rPr>
        <w:t>三是</w:t>
      </w:r>
      <w:r>
        <w:rPr>
          <w:rFonts w:hint="eastAsia" w:ascii="仿宋_GB2312" w:hAnsi="仿宋_GB2312" w:eastAsia="仿宋_GB2312" w:cs="仿宋_GB2312"/>
          <w:sz w:val="32"/>
          <w:szCs w:val="32"/>
          <w:lang w:val="en-US" w:eastAsia="zh-CN"/>
        </w:rPr>
        <w:t>积极开展民族团结进步创建活动。牢牢把握各民族“共同团结奋斗，共同繁荣发展"的民族工作主题，以深入贯彻落实习近平总书记关于民族团结进步工作相关指示精神为主线，以巩固和发展平等、团结、互助、和谐的社会主义民族关系为目标，深入开展民族团结进步创建活动，将民族团结进步创建工作设置专题，纳入主体班课程教学，有效促进民族团结创建工作在我县落地落实。</w:t>
      </w:r>
    </w:p>
    <w:p w14:paraId="197BD323">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595E0060">
      <w:pPr>
        <w:widowControl/>
        <w:spacing w:line="560" w:lineRule="exact"/>
        <w:ind w:firstLine="640" w:firstLineChars="200"/>
        <w:jc w:val="left"/>
        <w:rPr>
          <w:rFonts w:ascii="仿宋" w:hAnsi="仿宋" w:eastAsia="仿宋" w:cs="仿宋"/>
          <w:color w:val="000000"/>
          <w:sz w:val="32"/>
          <w:szCs w:val="32"/>
          <w:shd w:val="clear" w:color="auto" w:fill="FFFFFF"/>
        </w:rPr>
      </w:pPr>
      <w:r>
        <w:rPr>
          <w:rFonts w:hint="eastAsia" w:eastAsia="宋体"/>
          <w:color w:val="000000"/>
          <w:sz w:val="32"/>
          <w:szCs w:val="32"/>
          <w:shd w:val="clear" w:color="auto" w:fill="FFFFFF"/>
        </w:rPr>
        <w:t>1.</w:t>
      </w:r>
      <w:r>
        <w:rPr>
          <w:rFonts w:ascii="仿宋" w:hAnsi="仿宋" w:eastAsia="仿宋" w:cs="仿宋"/>
          <w:color w:val="000000"/>
          <w:sz w:val="32"/>
          <w:szCs w:val="32"/>
          <w:shd w:val="clear" w:color="auto" w:fill="FFFFFF"/>
        </w:rPr>
        <w:t>预算编制工作有待细化。预算编制不够明确和细化，预算编制的合理性需要提高，预算执行力度还要进一步加强。</w:t>
      </w:r>
    </w:p>
    <w:p w14:paraId="0635B07F">
      <w:pPr>
        <w:widowControl/>
        <w:spacing w:line="560" w:lineRule="exact"/>
        <w:ind w:firstLine="640" w:firstLineChars="200"/>
        <w:jc w:val="left"/>
        <w:rPr>
          <w:rFonts w:eastAsia="黑体"/>
          <w:sz w:val="32"/>
          <w:szCs w:val="32"/>
        </w:rPr>
      </w:pPr>
      <w:r>
        <w:rPr>
          <w:rFonts w:hint="eastAsia" w:eastAsia="黑体"/>
          <w:sz w:val="32"/>
          <w:szCs w:val="32"/>
        </w:rPr>
        <w:t>2.</w:t>
      </w:r>
      <w:r>
        <w:rPr>
          <w:rFonts w:hint="eastAsia" w:ascii="仿宋" w:hAnsi="仿宋" w:eastAsia="仿宋" w:cs="仿宋"/>
          <w:sz w:val="32"/>
          <w:szCs w:val="32"/>
        </w:rPr>
        <w:t>财务监督管理有待进一步加强。我</w:t>
      </w:r>
      <w:r>
        <w:rPr>
          <w:rFonts w:hint="eastAsia" w:ascii="仿宋" w:hAnsi="仿宋" w:eastAsia="仿宋" w:cs="仿宋"/>
          <w:sz w:val="32"/>
          <w:szCs w:val="32"/>
          <w:lang w:val="en-US" w:eastAsia="zh-CN"/>
        </w:rPr>
        <w:t>校</w:t>
      </w:r>
      <w:r>
        <w:rPr>
          <w:rFonts w:hint="eastAsia" w:ascii="仿宋" w:hAnsi="仿宋" w:eastAsia="仿宋" w:cs="仿宋"/>
          <w:sz w:val="32"/>
          <w:szCs w:val="32"/>
        </w:rPr>
        <w:t>财务管理的科学化、制度化、规范化总体执行较好，但仍不够理想，有待进一步提高。</w:t>
      </w:r>
    </w:p>
    <w:p w14:paraId="6FCD6C9C">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八、下一步改进措施</w:t>
      </w:r>
    </w:p>
    <w:p w14:paraId="180504A2">
      <w:pPr>
        <w:pStyle w:val="4"/>
        <w:widowControl/>
        <w:shd w:val="clear" w:color="auto" w:fill="FFFFFF"/>
        <w:spacing w:beforeAutospacing="0" w:afterAutospacing="0" w:line="550" w:lineRule="atLeast"/>
        <w:ind w:firstLine="645"/>
        <w:rPr>
          <w:color w:val="000000"/>
          <w:sz w:val="21"/>
          <w:szCs w:val="21"/>
        </w:rPr>
      </w:pPr>
      <w:r>
        <w:rPr>
          <w:rFonts w:hint="eastAsia" w:ascii="仿宋" w:hAnsi="仿宋" w:eastAsia="仿宋" w:cs="仿宋"/>
          <w:color w:val="000000"/>
          <w:sz w:val="32"/>
          <w:szCs w:val="32"/>
          <w:shd w:val="clear" w:color="auto" w:fill="FFFFFF"/>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4F7A4DB6">
      <w:pPr>
        <w:pStyle w:val="4"/>
        <w:widowControl/>
        <w:shd w:val="clear" w:color="auto" w:fill="FFFFFF"/>
        <w:snapToGrid w:val="0"/>
        <w:spacing w:beforeAutospacing="0" w:afterAutospacing="0" w:line="520" w:lineRule="exact"/>
        <w:ind w:firstLine="640" w:firstLineChars="2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5C2846E">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6E11B49A">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15D63794">
      <w:pPr>
        <w:pStyle w:val="4"/>
        <w:widowControl/>
        <w:shd w:val="clear" w:color="auto" w:fill="FFFFFF"/>
        <w:spacing w:beforeAutospacing="0" w:afterAutospacing="0" w:line="480" w:lineRule="atLeast"/>
        <w:jc w:val="both"/>
        <w:rPr>
          <w:rFonts w:ascii="Calibri" w:hAnsi="Calibri" w:cs="Calibri"/>
          <w:color w:val="000000"/>
          <w:szCs w:val="24"/>
        </w:rPr>
      </w:pPr>
    </w:p>
    <w:p w14:paraId="5E0FEA34">
      <w:pPr>
        <w:pStyle w:val="4"/>
        <w:widowControl/>
        <w:shd w:val="clear" w:color="auto" w:fill="FFFFFF"/>
        <w:spacing w:beforeAutospacing="0" w:afterAutospacing="0" w:line="480" w:lineRule="atLeast"/>
        <w:jc w:val="both"/>
        <w:rPr>
          <w:rFonts w:ascii="Calibri" w:hAnsi="Calibri" w:cs="Calibri"/>
          <w:color w:val="000000"/>
          <w:szCs w:val="24"/>
        </w:rPr>
      </w:pPr>
    </w:p>
    <w:p w14:paraId="0CD182E4">
      <w:pPr>
        <w:pStyle w:val="4"/>
        <w:widowControl/>
        <w:shd w:val="clear" w:color="auto" w:fill="FFFFFF"/>
        <w:spacing w:beforeAutospacing="0" w:afterAutospacing="0" w:line="480" w:lineRule="atLeast"/>
        <w:jc w:val="both"/>
        <w:rPr>
          <w:rFonts w:ascii="Calibri" w:hAnsi="Calibri" w:cs="Calibri"/>
          <w:color w:val="000000"/>
          <w:szCs w:val="24"/>
        </w:rPr>
      </w:pPr>
    </w:p>
    <w:p w14:paraId="3A7F7B3C">
      <w:pPr>
        <w:pStyle w:val="4"/>
        <w:widowControl/>
        <w:shd w:val="clear" w:color="auto" w:fill="FFFFFF"/>
        <w:spacing w:beforeAutospacing="0" w:afterAutospacing="0" w:line="480" w:lineRule="atLeast"/>
        <w:jc w:val="both"/>
        <w:rPr>
          <w:rFonts w:ascii="Calibri" w:hAnsi="Calibri" w:cs="Calibri"/>
          <w:color w:val="000000"/>
          <w:szCs w:val="24"/>
        </w:rPr>
      </w:pPr>
    </w:p>
    <w:p w14:paraId="72ED9D6E">
      <w:pPr>
        <w:pStyle w:val="4"/>
        <w:widowControl/>
        <w:shd w:val="clear" w:color="auto" w:fill="FFFFFF"/>
        <w:spacing w:beforeAutospacing="0" w:afterAutospacing="0" w:line="480" w:lineRule="atLeast"/>
        <w:jc w:val="both"/>
        <w:rPr>
          <w:rFonts w:ascii="Calibri" w:hAnsi="Calibri" w:cs="Calibri"/>
          <w:color w:val="000000"/>
          <w:szCs w:val="24"/>
        </w:rPr>
      </w:pPr>
    </w:p>
    <w:p w14:paraId="5D578E34">
      <w:pPr>
        <w:pStyle w:val="4"/>
        <w:widowControl/>
        <w:shd w:val="clear" w:color="auto" w:fill="FFFFFF"/>
        <w:spacing w:beforeAutospacing="0" w:afterAutospacing="0" w:line="480" w:lineRule="atLeast"/>
        <w:jc w:val="both"/>
        <w:rPr>
          <w:rFonts w:ascii="Calibri" w:hAnsi="Calibri" w:cs="Calibri"/>
          <w:color w:val="000000"/>
          <w:szCs w:val="24"/>
        </w:rPr>
      </w:pPr>
    </w:p>
    <w:p w14:paraId="7E1A1950">
      <w:pPr>
        <w:pStyle w:val="4"/>
        <w:widowControl/>
        <w:shd w:val="clear" w:color="auto" w:fill="FFFFFF"/>
        <w:spacing w:beforeAutospacing="0" w:afterAutospacing="0" w:line="480" w:lineRule="atLeast"/>
        <w:jc w:val="both"/>
        <w:rPr>
          <w:rFonts w:ascii="Calibri" w:hAnsi="Calibri" w:cs="Calibri"/>
          <w:color w:val="000000"/>
          <w:szCs w:val="24"/>
        </w:rPr>
      </w:pPr>
    </w:p>
    <w:p w14:paraId="6356B9BA">
      <w:pPr>
        <w:pStyle w:val="4"/>
        <w:widowControl/>
        <w:shd w:val="clear" w:color="auto" w:fill="FFFFFF"/>
        <w:spacing w:beforeAutospacing="0" w:afterAutospacing="0" w:line="480" w:lineRule="atLeast"/>
        <w:jc w:val="both"/>
        <w:rPr>
          <w:rFonts w:ascii="Calibri" w:hAnsi="Calibri" w:cs="Calibri"/>
          <w:color w:val="000000"/>
          <w:szCs w:val="24"/>
        </w:rPr>
      </w:pPr>
    </w:p>
    <w:p w14:paraId="1E6E5747">
      <w:pPr>
        <w:pStyle w:val="4"/>
        <w:widowControl/>
        <w:shd w:val="clear" w:color="auto" w:fill="FFFFFF"/>
        <w:spacing w:beforeAutospacing="0" w:afterAutospacing="0" w:line="480" w:lineRule="atLeast"/>
        <w:jc w:val="both"/>
        <w:rPr>
          <w:rFonts w:ascii="Calibri" w:hAnsi="Calibri" w:cs="Calibri"/>
          <w:color w:val="000000"/>
          <w:szCs w:val="24"/>
        </w:rPr>
      </w:pPr>
    </w:p>
    <w:p w14:paraId="42427EE3">
      <w:pPr>
        <w:pStyle w:val="4"/>
        <w:widowControl/>
        <w:shd w:val="clear" w:color="auto" w:fill="FFFFFF"/>
        <w:spacing w:beforeAutospacing="0" w:afterAutospacing="0" w:line="480" w:lineRule="atLeast"/>
        <w:jc w:val="both"/>
        <w:rPr>
          <w:rFonts w:ascii="Calibri" w:hAnsi="Calibri" w:cs="Calibri"/>
          <w:color w:val="000000"/>
          <w:szCs w:val="24"/>
        </w:rPr>
      </w:pPr>
    </w:p>
    <w:p w14:paraId="26E2FD1C">
      <w:pPr>
        <w:pStyle w:val="4"/>
        <w:widowControl/>
        <w:shd w:val="clear" w:color="auto" w:fill="FFFFFF"/>
        <w:spacing w:beforeAutospacing="0" w:afterAutospacing="0" w:line="480" w:lineRule="atLeast"/>
        <w:jc w:val="both"/>
        <w:rPr>
          <w:rFonts w:ascii="Calibri" w:hAnsi="Calibri" w:cs="Calibri"/>
          <w:color w:val="000000"/>
          <w:szCs w:val="24"/>
        </w:rPr>
      </w:pPr>
    </w:p>
    <w:p w14:paraId="4493644F">
      <w:pPr>
        <w:pStyle w:val="4"/>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57255F0F">
      <w:pPr>
        <w:jc w:val="left"/>
        <w:rPr>
          <w:rFonts w:ascii="仿宋" w:hAnsi="仿宋" w:eastAsia="仿宋" w:cs="仿宋"/>
          <w:b/>
          <w:bCs/>
          <w:sz w:val="30"/>
          <w:szCs w:val="30"/>
        </w:rPr>
      </w:pPr>
    </w:p>
    <w:sectPr>
      <w:pgSz w:w="11906" w:h="16838"/>
      <w:pgMar w:top="1440" w:right="1134"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N2I2YmYwZDEwMjI3YmIyZDNlODViNzEyMTFkMTEifQ=="/>
    <w:docVar w:name="KSO_WPS_MARK_KEY" w:val="2cad2da4-8c74-4208-b950-09c4ddb6f378"/>
  </w:docVars>
  <w:rsids>
    <w:rsidRoot w:val="00655A3A"/>
    <w:rsid w:val="00655A3A"/>
    <w:rsid w:val="006A0849"/>
    <w:rsid w:val="006F375B"/>
    <w:rsid w:val="007B1ADB"/>
    <w:rsid w:val="030B5483"/>
    <w:rsid w:val="0427580E"/>
    <w:rsid w:val="1AE026FF"/>
    <w:rsid w:val="1EA33F65"/>
    <w:rsid w:val="2059439F"/>
    <w:rsid w:val="269E5DD8"/>
    <w:rsid w:val="27416581"/>
    <w:rsid w:val="310929AC"/>
    <w:rsid w:val="394174D1"/>
    <w:rsid w:val="48FA17B8"/>
    <w:rsid w:val="4B72396B"/>
    <w:rsid w:val="4C2278DD"/>
    <w:rsid w:val="55AB35F9"/>
    <w:rsid w:val="5DED2DAA"/>
    <w:rsid w:val="5F8546DF"/>
    <w:rsid w:val="7A4B1FF0"/>
    <w:rsid w:val="7C76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4">
    <w:name w:val="Normal (Web)"/>
    <w:basedOn w:val="1"/>
    <w:autoRedefine/>
    <w:qFormat/>
    <w:uiPriority w:val="0"/>
    <w:pPr>
      <w:spacing w:beforeAutospacing="1" w:afterAutospacing="1"/>
      <w:jc w:val="left"/>
    </w:pPr>
    <w:rPr>
      <w:kern w:val="0"/>
      <w:sz w:val="24"/>
    </w:rPr>
  </w:style>
  <w:style w:type="paragraph" w:customStyle="1" w:styleId="7">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2959</Words>
  <Characters>3074</Characters>
  <Lines>12</Lines>
  <Paragraphs>3</Paragraphs>
  <TotalTime>31</TotalTime>
  <ScaleCrop>false</ScaleCrop>
  <LinksUpToDate>false</LinksUpToDate>
  <CharactersWithSpaces>3095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2024-06-04T01:14:00Z</dcterms:created>
  <dc:creator>Administrator</dc:creator>
  <cp:lastModifiedBy>Sun</cp:lastModifiedBy>
  <dcterms:modified xsi:type="dcterms:W3CDTF">2025-03-18T03:10:50Z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A94FA875CFF54675B3F513257E202454_13</vt:lpwstr>
  </property>
  <property fmtid="{D5CDD505-2E9C-101B-9397-08002B2CF9AE}" pid="4" name="KSOTemplateDocerSaveRecord">
    <vt:lpwstr>eyJoZGlkIjoiMzAyY2M5MzcyZmU3NzhiYjYzMTY5MWRmNjBmYzI2NzYiLCJ1c2VySWQiOiIyMzQ2NzI5NjQifQ==</vt:lpwstr>
  </property>
</Properties>
</file>