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t>附件1</w:t>
      </w:r>
    </w:p>
    <w:p>
      <w:pPr>
        <w:spacing w:line="600" w:lineRule="exact"/>
        <w:rPr>
          <w:rFonts w:ascii="Times New Roman" w:hAnsi="Times New Roman" w:eastAsia="黑体" w:cs="Times New Roman"/>
          <w:sz w:val="32"/>
          <w:szCs w:val="32"/>
        </w:rPr>
      </w:pPr>
    </w:p>
    <w:p>
      <w:pPr>
        <w:spacing w:line="600" w:lineRule="exact"/>
        <w:rPr>
          <w:rFonts w:ascii="Times New Roman" w:hAnsi="Times New Roman" w:eastAsia="黑体" w:cs="Times New Roman"/>
          <w:sz w:val="32"/>
          <w:szCs w:val="32"/>
        </w:rPr>
      </w:pPr>
    </w:p>
    <w:p>
      <w:pPr>
        <w:jc w:val="center"/>
        <w:rPr>
          <w:rFonts w:hint="eastAsia" w:eastAsia="方正小标宋_GBK" w:cs="Times New Roman"/>
          <w:sz w:val="52"/>
          <w:szCs w:val="52"/>
          <w:lang w:val="en-US" w:eastAsia="zh-CN"/>
        </w:rPr>
      </w:pPr>
      <w:r>
        <w:rPr>
          <w:rFonts w:ascii="Times New Roman" w:hAnsi="Times New Roman" w:eastAsia="方正小标宋_GBK" w:cs="Times New Roman"/>
          <w:sz w:val="52"/>
          <w:szCs w:val="52"/>
        </w:rPr>
        <w:t>202</w:t>
      </w:r>
      <w:r>
        <w:rPr>
          <w:rFonts w:hint="eastAsia" w:eastAsia="方正小标宋_GBK" w:cs="Times New Roman"/>
          <w:sz w:val="52"/>
          <w:szCs w:val="52"/>
          <w:lang w:val="en-US" w:eastAsia="zh-CN"/>
        </w:rPr>
        <w:t>3</w:t>
      </w:r>
      <w:r>
        <w:rPr>
          <w:rFonts w:ascii="Times New Roman" w:hAnsi="Times New Roman" w:eastAsia="方正小标宋_GBK" w:cs="Times New Roman"/>
          <w:sz w:val="52"/>
          <w:szCs w:val="52"/>
        </w:rPr>
        <w:t>年度</w:t>
      </w:r>
      <w:r>
        <w:rPr>
          <w:rFonts w:hint="eastAsia" w:eastAsia="方正小标宋_GBK" w:cs="Times New Roman"/>
          <w:sz w:val="52"/>
          <w:szCs w:val="52"/>
          <w:lang w:val="en-US" w:eastAsia="zh-CN"/>
        </w:rPr>
        <w:t>城步苗族自治县医疗保障局</w:t>
      </w:r>
    </w:p>
    <w:p>
      <w:pPr>
        <w:jc w:val="center"/>
        <w:rPr>
          <w:rFonts w:ascii="Times New Roman" w:hAnsi="Times New Roman" w:eastAsia="方正小标宋_GBK" w:cs="Times New Roman"/>
          <w:sz w:val="52"/>
          <w:szCs w:val="52"/>
        </w:rPr>
      </w:pPr>
      <w:r>
        <w:rPr>
          <w:rFonts w:hint="eastAsia" w:eastAsia="方正小标宋_GBK" w:cs="Times New Roman"/>
          <w:sz w:val="52"/>
          <w:szCs w:val="52"/>
          <w:lang w:eastAsia="zh-CN"/>
        </w:rPr>
        <w:t>部门</w:t>
      </w:r>
      <w:r>
        <w:rPr>
          <w:rFonts w:ascii="Times New Roman" w:hAnsi="Times New Roman" w:eastAsia="方正小标宋_GBK" w:cs="Times New Roman"/>
          <w:sz w:val="52"/>
          <w:szCs w:val="52"/>
        </w:rPr>
        <w:t>整体支出绩效自评报告</w:t>
      </w:r>
    </w:p>
    <w:p>
      <w:pPr>
        <w:jc w:val="center"/>
        <w:rPr>
          <w:rFonts w:ascii="Times New Roman" w:hAnsi="Times New Roman" w:eastAsia="方正小标宋_GBK" w:cs="Times New Roman"/>
          <w:b/>
          <w:sz w:val="52"/>
          <w:szCs w:val="5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spacing w:line="600" w:lineRule="exact"/>
        <w:ind w:firstLine="2400" w:firstLineChars="600"/>
        <w:jc w:val="both"/>
        <w:rPr>
          <w:rFonts w:hint="default" w:ascii="仿宋" w:hAnsi="仿宋" w:eastAsia="仿宋" w:cs="仿宋"/>
          <w:sz w:val="40"/>
          <w:szCs w:val="40"/>
          <w:u w:val="single"/>
          <w:lang w:val="en-US" w:eastAsia="zh-CN"/>
        </w:rPr>
      </w:pPr>
      <w:r>
        <w:rPr>
          <w:rFonts w:hint="eastAsia" w:ascii="仿宋" w:hAnsi="仿宋" w:eastAsia="仿宋" w:cs="仿宋"/>
          <w:sz w:val="40"/>
          <w:szCs w:val="40"/>
        </w:rPr>
        <w:t>单位名称：</w:t>
      </w:r>
      <w:r>
        <w:rPr>
          <w:rFonts w:hint="eastAsia" w:ascii="仿宋" w:hAnsi="仿宋" w:eastAsia="仿宋" w:cs="仿宋"/>
          <w:sz w:val="40"/>
          <w:szCs w:val="40"/>
          <w:u w:val="single"/>
          <w:lang w:eastAsia="zh-CN"/>
        </w:rPr>
        <w:t>（盖章）</w:t>
      </w:r>
      <w:r>
        <w:rPr>
          <w:rFonts w:hint="eastAsia" w:ascii="仿宋" w:hAnsi="仿宋" w:eastAsia="仿宋" w:cs="仿宋"/>
          <w:sz w:val="40"/>
          <w:szCs w:val="40"/>
          <w:u w:val="single"/>
          <w:lang w:val="en-US" w:eastAsia="zh-CN"/>
        </w:rPr>
        <w:t xml:space="preserve">    </w:t>
      </w:r>
    </w:p>
    <w:p>
      <w:pPr>
        <w:spacing w:line="600" w:lineRule="exact"/>
        <w:ind w:firstLine="2800" w:firstLineChars="700"/>
        <w:jc w:val="both"/>
        <w:rPr>
          <w:rFonts w:hint="eastAsia" w:ascii="仿宋" w:hAnsi="仿宋" w:eastAsia="仿宋" w:cs="仿宋"/>
          <w:sz w:val="40"/>
          <w:szCs w:val="40"/>
        </w:rPr>
      </w:pPr>
      <w:r>
        <w:rPr>
          <w:rFonts w:hint="eastAsia" w:ascii="仿宋" w:hAnsi="仿宋" w:eastAsia="仿宋" w:cs="仿宋"/>
          <w:sz w:val="40"/>
          <w:szCs w:val="40"/>
          <w:lang w:val="en-US" w:eastAsia="zh-CN"/>
        </w:rPr>
        <w:t>2024</w:t>
      </w:r>
      <w:r>
        <w:rPr>
          <w:rFonts w:hint="eastAsia" w:ascii="仿宋" w:hAnsi="仿宋" w:eastAsia="仿宋" w:cs="仿宋"/>
          <w:sz w:val="40"/>
          <w:szCs w:val="40"/>
        </w:rPr>
        <w:t>年</w:t>
      </w:r>
      <w:r>
        <w:rPr>
          <w:rFonts w:hint="eastAsia" w:ascii="仿宋" w:hAnsi="仿宋" w:eastAsia="仿宋" w:cs="仿宋"/>
          <w:sz w:val="40"/>
          <w:szCs w:val="40"/>
          <w:lang w:val="en-US" w:eastAsia="zh-CN"/>
        </w:rPr>
        <w:t xml:space="preserve"> 5 </w:t>
      </w:r>
      <w:r>
        <w:rPr>
          <w:rFonts w:hint="eastAsia" w:ascii="仿宋" w:hAnsi="仿宋" w:eastAsia="仿宋" w:cs="仿宋"/>
          <w:sz w:val="40"/>
          <w:szCs w:val="40"/>
        </w:rPr>
        <w:t>月</w:t>
      </w:r>
      <w:r>
        <w:rPr>
          <w:rFonts w:hint="eastAsia" w:ascii="仿宋" w:hAnsi="仿宋" w:eastAsia="仿宋" w:cs="仿宋"/>
          <w:sz w:val="40"/>
          <w:szCs w:val="40"/>
          <w:lang w:val="en-US" w:eastAsia="zh-CN"/>
        </w:rPr>
        <w:t>31</w:t>
      </w:r>
      <w:r>
        <w:rPr>
          <w:rFonts w:hint="eastAsia" w:ascii="仿宋" w:hAnsi="仿宋" w:eastAsia="仿宋" w:cs="仿宋"/>
          <w:sz w:val="40"/>
          <w:szCs w:val="40"/>
        </w:rPr>
        <w:t>日</w:t>
      </w:r>
    </w:p>
    <w:p/>
    <w:p/>
    <w:p/>
    <w:p/>
    <w:p/>
    <w:p/>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pPr>
      <w:r>
        <w:rPr>
          <w:rFonts w:hint="eastAsia" w:ascii="方正小标宋_GBK" w:hAnsi="方正小标宋_GBK" w:eastAsia="方正小标宋_GBK" w:cs="方正小标宋_GBK"/>
          <w:i w:val="0"/>
          <w:iCs w:val="0"/>
          <w:caps w:val="0"/>
          <w:color w:val="000000"/>
          <w:spacing w:val="0"/>
          <w:sz w:val="44"/>
          <w:szCs w:val="44"/>
          <w:shd w:val="clear" w:fill="FFFFFF"/>
        </w:rPr>
        <w:t>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3</w:t>
      </w:r>
      <w:r>
        <w:rPr>
          <w:rFonts w:hint="eastAsia" w:ascii="方正小标宋_GBK" w:hAnsi="方正小标宋_GBK" w:eastAsia="方正小标宋_GBK" w:cs="方正小标宋_GBK"/>
          <w:i w:val="0"/>
          <w:iCs w:val="0"/>
          <w:caps w:val="0"/>
          <w:color w:val="000000"/>
          <w:spacing w:val="0"/>
          <w:sz w:val="44"/>
          <w:szCs w:val="44"/>
          <w:shd w:val="clear" w:fill="FFFFFF"/>
        </w:rPr>
        <w:t>年度</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城步苗族自治县医疗保障局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（一）机构设置情况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城步苗族自治县医疗保障局内设机构包括：内设股室5个，分别是：待遇保障股、基金监管股、办公室、规划财务和法规股、医药服务管理和医药价格招标采购股。所属二级单位1个，所属单位是医疗保障事务中心。</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人员编制情况</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Times New Roman" w:hAnsi="Times New Roman" w:eastAsia="仿宋_GB2312" w:cs="Times New Roman"/>
          <w:kern w:val="2"/>
          <w:sz w:val="32"/>
          <w:szCs w:val="32"/>
          <w:lang w:val="en-US" w:eastAsia="zh-CN" w:bidi="ar-SA"/>
        </w:rPr>
        <w:t>城步苗族自治县医疗保障</w:t>
      </w:r>
      <w:r>
        <w:rPr>
          <w:rFonts w:hint="default" w:ascii="Times New Roman" w:hAnsi="Times New Roman" w:eastAsia="仿宋_GB2312" w:cs="Times New Roman"/>
          <w:kern w:val="2"/>
          <w:sz w:val="32"/>
          <w:szCs w:val="32"/>
          <w:lang w:val="en-US" w:eastAsia="zh-CN" w:bidi="ar-SA"/>
        </w:rPr>
        <w:t>局机关共有编制10人，年初实有人数为8人，年末实有人数</w:t>
      </w:r>
      <w:r>
        <w:rPr>
          <w:rFonts w:hint="eastAsia" w:ascii="Times New Roman" w:hAnsi="Times New Roman" w:eastAsia="仿宋_GB2312" w:cs="Times New Roman"/>
          <w:kern w:val="2"/>
          <w:sz w:val="32"/>
          <w:szCs w:val="32"/>
          <w:lang w:val="en-US" w:eastAsia="zh-CN" w:bidi="ar-SA"/>
        </w:rPr>
        <w:t>7</w:t>
      </w:r>
      <w:r>
        <w:rPr>
          <w:rFonts w:hint="default" w:ascii="Times New Roman" w:hAnsi="Times New Roman" w:eastAsia="仿宋_GB2312" w:cs="Times New Roman"/>
          <w:kern w:val="2"/>
          <w:sz w:val="32"/>
          <w:szCs w:val="32"/>
          <w:lang w:val="en-US" w:eastAsia="zh-CN" w:bidi="ar-SA"/>
        </w:rPr>
        <w:t>人，所属二级单位医疗保障事务中心共有编制</w:t>
      </w:r>
      <w:r>
        <w:rPr>
          <w:rFonts w:hint="eastAsia" w:ascii="Times New Roman" w:hAnsi="Times New Roman" w:eastAsia="仿宋_GB2312" w:cs="Times New Roman"/>
          <w:kern w:val="2"/>
          <w:sz w:val="32"/>
          <w:szCs w:val="32"/>
          <w:lang w:val="en-US" w:eastAsia="zh-CN" w:bidi="ar-SA"/>
        </w:rPr>
        <w:t>38</w:t>
      </w:r>
      <w:r>
        <w:rPr>
          <w:rFonts w:hint="default" w:ascii="Times New Roman" w:hAnsi="Times New Roman" w:eastAsia="仿宋_GB2312" w:cs="Times New Roman"/>
          <w:kern w:val="2"/>
          <w:sz w:val="32"/>
          <w:szCs w:val="32"/>
          <w:lang w:val="en-US" w:eastAsia="zh-CN" w:bidi="ar-SA"/>
        </w:rPr>
        <w:t>人，年初实有人数为24人，年末实有人数2</w:t>
      </w:r>
      <w:r>
        <w:rPr>
          <w:rFonts w:hint="eastAsia" w:ascii="Times New Roman" w:hAnsi="Times New Roman" w:eastAsia="仿宋_GB2312" w:cs="Times New Roman"/>
          <w:kern w:val="2"/>
          <w:sz w:val="32"/>
          <w:szCs w:val="32"/>
          <w:lang w:val="en-US" w:eastAsia="zh-CN" w:bidi="ar-SA"/>
        </w:rPr>
        <w:t>0</w:t>
      </w:r>
      <w:r>
        <w:rPr>
          <w:rFonts w:hint="default" w:ascii="Times New Roman" w:hAnsi="Times New Roman" w:eastAsia="仿宋_GB2312" w:cs="Times New Roman"/>
          <w:kern w:val="2"/>
          <w:sz w:val="32"/>
          <w:szCs w:val="32"/>
          <w:lang w:val="en-US" w:eastAsia="zh-CN" w:bidi="ar-SA"/>
        </w:rPr>
        <w:t>人。因工作调动调出2人。</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主要职能职责</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1、贯彻执行国家和省、市关于医疗保险、生育保险、医疗救助等医疗保障制度的法律法规、政策规划和标准。</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2、组织制定并实施全县医疗保障基金监督管理办法，监督管理相关医疗保险基金。</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3、组织制定全县医疗保障筹资和待遇政策，完善动态调整和区域调剂平衡机制，统筹城乡医疗保障待遇标准。</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4、组织实施全县城乡统一的药品、医用耗材、医疗服务项目、医疗服务设施等医保目录和支付标准。</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5、制定全县定点医药机构协议和支付管理办法并组织实施，建立健全医疗保障信用评价体系和信息披露制度。</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6、负责全县医疗保障经办管理、公共服务体系和信息化建设，完善统一的城乡居民基本医疗保险制度和大病保险制度，巩固完善城乡居民医救助制度，建立健全覆盖全民城乡统筹的多层次医疗保障体系。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（四）绩效目标设定情况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1、城乡居民医疗保险参保率达95%以上。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2、保障城镇职工医保、城乡居民医保、医疗救助支出。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3、有序推进药品带量采购、医保支付方式改革。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Times New Roman" w:hAnsi="Times New Roman" w:eastAsia="仿宋_GB2312" w:cs="Times New Roman"/>
          <w:kern w:val="2"/>
          <w:sz w:val="32"/>
          <w:szCs w:val="32"/>
          <w:lang w:val="en-US" w:eastAsia="zh-CN" w:bidi="ar-SA"/>
        </w:rPr>
        <w:t>4、医保基金临管全覆盖，每个医院、药店全年检查一次以上。</w:t>
      </w:r>
    </w:p>
    <w:p>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pPr>
        <w:pStyle w:val="5"/>
        <w:widowControl/>
        <w:spacing w:line="600" w:lineRule="exact"/>
        <w:ind w:left="640" w:firstLine="0" w:firstLineChars="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eastAsia" w:eastAsia="楷体_GB2312" w:cs="Times New Roman"/>
          <w:sz w:val="32"/>
          <w:szCs w:val="32"/>
          <w:lang w:eastAsia="zh-CN"/>
        </w:rPr>
        <w:t>部门</w:t>
      </w:r>
      <w:r>
        <w:rPr>
          <w:rFonts w:hint="default" w:ascii="Times New Roman" w:hAnsi="Times New Roman" w:eastAsia="楷体_GB2312" w:cs="Times New Roman"/>
          <w:sz w:val="32"/>
          <w:szCs w:val="32"/>
        </w:rPr>
        <w:t>预决算情况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1.部门预算情况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2023年年初预算安排收入</w:t>
      </w:r>
      <w:r>
        <w:rPr>
          <w:rFonts w:hint="eastAsia" w:cs="Times New Roman"/>
          <w:sz w:val="32"/>
          <w:szCs w:val="32"/>
          <w:lang w:val="en-US" w:eastAsia="zh-CN"/>
        </w:rPr>
        <w:t>513.74</w:t>
      </w:r>
      <w:r>
        <w:rPr>
          <w:rFonts w:hint="default" w:ascii="Times New Roman" w:hAnsi="Times New Roman" w:eastAsia="仿宋_GB2312" w:cs="Times New Roman"/>
          <w:sz w:val="32"/>
          <w:szCs w:val="32"/>
          <w:lang w:eastAsia="zh-CN"/>
        </w:rPr>
        <w:t>万元，其中一般公共财政拨款</w:t>
      </w:r>
      <w:r>
        <w:rPr>
          <w:rFonts w:hint="eastAsia" w:cs="Times New Roman"/>
          <w:sz w:val="32"/>
          <w:szCs w:val="32"/>
          <w:lang w:val="en-US" w:eastAsia="zh-CN"/>
        </w:rPr>
        <w:t>513.74</w:t>
      </w:r>
      <w:r>
        <w:rPr>
          <w:rFonts w:hint="default" w:ascii="Times New Roman" w:hAnsi="Times New Roman" w:eastAsia="仿宋_GB2312" w:cs="Times New Roman"/>
          <w:sz w:val="32"/>
          <w:szCs w:val="32"/>
          <w:lang w:eastAsia="zh-CN"/>
        </w:rPr>
        <w:t>万元；2023年年初预算安排支出</w:t>
      </w:r>
      <w:r>
        <w:rPr>
          <w:rFonts w:hint="eastAsia" w:cs="Times New Roman"/>
          <w:sz w:val="32"/>
          <w:szCs w:val="32"/>
          <w:lang w:val="en-US" w:eastAsia="zh-CN"/>
        </w:rPr>
        <w:t>513.74</w:t>
      </w:r>
      <w:r>
        <w:rPr>
          <w:rFonts w:hint="default"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其中：基本支出</w:t>
      </w:r>
      <w:r>
        <w:rPr>
          <w:rFonts w:hint="eastAsia" w:cs="Times New Roman"/>
          <w:sz w:val="32"/>
          <w:szCs w:val="32"/>
          <w:lang w:val="en-US" w:eastAsia="zh-CN"/>
        </w:rPr>
        <w:t>333.57</w:t>
      </w:r>
      <w:r>
        <w:rPr>
          <w:rFonts w:hint="default" w:ascii="Times New Roman" w:hAnsi="Times New Roman" w:eastAsia="仿宋_GB2312" w:cs="Times New Roman"/>
          <w:sz w:val="32"/>
          <w:szCs w:val="32"/>
          <w:lang w:eastAsia="zh-CN"/>
        </w:rPr>
        <w:t>万元，项目支出</w:t>
      </w:r>
      <w:r>
        <w:rPr>
          <w:rFonts w:hint="eastAsia" w:cs="Times New Roman"/>
          <w:sz w:val="32"/>
          <w:szCs w:val="32"/>
          <w:lang w:val="en-US" w:eastAsia="zh-CN"/>
        </w:rPr>
        <w:t>180.17</w:t>
      </w:r>
      <w:r>
        <w:rPr>
          <w:rFonts w:hint="default" w:ascii="Times New Roman" w:hAnsi="Times New Roman" w:eastAsia="仿宋_GB2312" w:cs="Times New Roman"/>
          <w:sz w:val="32"/>
          <w:szCs w:val="32"/>
          <w:lang w:eastAsia="zh-CN"/>
        </w:rPr>
        <w:t>万元。</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2.部门决算情况（含年中预算追加情况）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2023年决算总收入</w:t>
      </w:r>
      <w:r>
        <w:rPr>
          <w:rFonts w:hint="eastAsia" w:cs="Times New Roman"/>
          <w:sz w:val="32"/>
          <w:szCs w:val="32"/>
          <w:lang w:val="en-US" w:eastAsia="zh-CN"/>
        </w:rPr>
        <w:t>687.50</w:t>
      </w:r>
      <w:r>
        <w:rPr>
          <w:rFonts w:hint="default" w:ascii="Times New Roman" w:hAnsi="Times New Roman" w:eastAsia="仿宋_GB2312" w:cs="Times New Roman"/>
          <w:sz w:val="32"/>
          <w:szCs w:val="32"/>
          <w:lang w:eastAsia="zh-CN"/>
        </w:rPr>
        <w:t>万元，较预算增加</w:t>
      </w:r>
      <w:r>
        <w:rPr>
          <w:rFonts w:hint="eastAsia" w:cs="Times New Roman"/>
          <w:sz w:val="32"/>
          <w:szCs w:val="32"/>
          <w:lang w:val="en-US" w:eastAsia="zh-CN"/>
        </w:rPr>
        <w:t>173.76</w:t>
      </w:r>
      <w:r>
        <w:rPr>
          <w:rFonts w:hint="default" w:ascii="Times New Roman" w:hAnsi="Times New Roman" w:eastAsia="仿宋_GB2312" w:cs="Times New Roman"/>
          <w:sz w:val="32"/>
          <w:szCs w:val="32"/>
          <w:lang w:eastAsia="zh-CN"/>
        </w:rPr>
        <w:t>万元，总支出</w:t>
      </w:r>
      <w:r>
        <w:rPr>
          <w:rFonts w:hint="eastAsia" w:cs="Times New Roman"/>
          <w:sz w:val="32"/>
          <w:szCs w:val="32"/>
          <w:lang w:val="en-US" w:eastAsia="zh-CN"/>
        </w:rPr>
        <w:t>687.50</w:t>
      </w:r>
      <w:r>
        <w:rPr>
          <w:rFonts w:hint="default" w:ascii="Times New Roman" w:hAnsi="Times New Roman" w:eastAsia="仿宋_GB2312" w:cs="Times New Roman"/>
          <w:sz w:val="32"/>
          <w:szCs w:val="32"/>
          <w:lang w:eastAsia="zh-CN"/>
        </w:rPr>
        <w:t>万元，其中：基本支出</w:t>
      </w:r>
      <w:r>
        <w:rPr>
          <w:rFonts w:hint="eastAsia" w:cs="Times New Roman"/>
          <w:sz w:val="32"/>
          <w:szCs w:val="32"/>
          <w:lang w:val="en-US" w:eastAsia="zh-CN"/>
        </w:rPr>
        <w:t>358.93</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52.21</w:t>
      </w:r>
      <w:r>
        <w:rPr>
          <w:rFonts w:hint="default" w:ascii="Times New Roman" w:hAnsi="Times New Roman" w:eastAsia="仿宋_GB2312" w:cs="Times New Roman"/>
          <w:sz w:val="32"/>
          <w:szCs w:val="32"/>
          <w:lang w:eastAsia="zh-CN"/>
        </w:rPr>
        <w:t>％；项目支出</w:t>
      </w:r>
      <w:r>
        <w:rPr>
          <w:rFonts w:hint="eastAsia" w:cs="Times New Roman"/>
          <w:sz w:val="32"/>
          <w:szCs w:val="32"/>
          <w:lang w:val="en-US" w:eastAsia="zh-CN"/>
        </w:rPr>
        <w:t>328.57</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47.79</w:t>
      </w:r>
      <w:r>
        <w:rPr>
          <w:rFonts w:hint="default" w:ascii="Times New Roman" w:hAnsi="Times New Roman" w:eastAsia="仿宋_GB2312" w:cs="Times New Roman"/>
          <w:sz w:val="32"/>
          <w:szCs w:val="32"/>
          <w:lang w:eastAsia="zh-CN"/>
        </w:rPr>
        <w:t>％。差异产生的主要原因是</w:t>
      </w:r>
      <w:r>
        <w:rPr>
          <w:rFonts w:hint="eastAsia" w:cs="Times New Roman"/>
          <w:sz w:val="32"/>
          <w:szCs w:val="32"/>
          <w:lang w:val="en-US" w:eastAsia="zh-CN"/>
        </w:rPr>
        <w:t>中央财政预算的医保能力提升资金与新冠救治费用未纳入县级财政年初预算</w:t>
      </w:r>
      <w:r>
        <w:rPr>
          <w:rFonts w:hint="default" w:ascii="Times New Roman" w:hAnsi="Times New Roman" w:eastAsia="仿宋_GB2312" w:cs="Times New Roman"/>
          <w:sz w:val="32"/>
          <w:szCs w:val="32"/>
          <w:lang w:eastAsia="zh-CN"/>
        </w:rPr>
        <w:t>。</w:t>
      </w:r>
    </w:p>
    <w:p>
      <w:pPr>
        <w:spacing w:line="600" w:lineRule="exact"/>
        <w:ind w:firstLine="640" w:firstLineChars="200"/>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（二）部门预算执行情况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经费执行情况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2023年“三公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经费预算数</w:t>
      </w:r>
      <w:r>
        <w:rPr>
          <w:rFonts w:hint="eastAsia" w:cs="Times New Roman"/>
          <w:sz w:val="32"/>
          <w:szCs w:val="32"/>
          <w:lang w:val="en-US" w:eastAsia="zh-CN"/>
        </w:rPr>
        <w:t>2.48</w:t>
      </w:r>
      <w:r>
        <w:rPr>
          <w:rFonts w:hint="default" w:ascii="Times New Roman" w:hAnsi="Times New Roman" w:eastAsia="仿宋_GB2312" w:cs="Times New Roman"/>
          <w:sz w:val="32"/>
          <w:szCs w:val="32"/>
          <w:lang w:eastAsia="zh-CN"/>
        </w:rPr>
        <w:t>万元，其中：因公出国（境）费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万元，公务用车购置及运行维护费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2.48</w:t>
      </w:r>
      <w:r>
        <w:rPr>
          <w:rFonts w:hint="default" w:ascii="Times New Roman" w:hAnsi="Times New Roman" w:eastAsia="仿宋_GB2312" w:cs="Times New Roman"/>
          <w:sz w:val="32"/>
          <w:szCs w:val="32"/>
          <w:lang w:eastAsia="zh-CN"/>
        </w:rPr>
        <w:t>万元。“三公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经费决算数</w:t>
      </w:r>
      <w:r>
        <w:rPr>
          <w:rFonts w:hint="eastAsia" w:cs="Times New Roman"/>
          <w:sz w:val="32"/>
          <w:szCs w:val="32"/>
          <w:lang w:val="en-US" w:eastAsia="zh-CN"/>
        </w:rPr>
        <w:t>3.05</w:t>
      </w:r>
      <w:r>
        <w:rPr>
          <w:rFonts w:hint="default" w:ascii="Times New Roman" w:hAnsi="Times New Roman" w:eastAsia="仿宋_GB2312" w:cs="Times New Roman"/>
          <w:sz w:val="32"/>
          <w:szCs w:val="32"/>
          <w:lang w:eastAsia="zh-CN"/>
        </w:rPr>
        <w:t>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3.05</w:t>
      </w:r>
      <w:r>
        <w:rPr>
          <w:rFonts w:hint="default" w:ascii="Times New Roman" w:hAnsi="Times New Roman" w:eastAsia="仿宋_GB2312" w:cs="Times New Roman"/>
          <w:sz w:val="32"/>
          <w:szCs w:val="32"/>
          <w:lang w:eastAsia="zh-CN"/>
        </w:rPr>
        <w:t>万元。</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.政府采购执行情况</w:t>
      </w:r>
    </w:p>
    <w:p>
      <w:pPr>
        <w:spacing w:line="600" w:lineRule="exact"/>
        <w:ind w:firstLine="640" w:firstLineChars="200"/>
        <w:rPr>
          <w:rFonts w:hint="default" w:ascii="楷体_GB2312" w:eastAsia="楷体_GB2312" w:cs="楷体_GB2312"/>
          <w:i w:val="0"/>
          <w:iCs w:val="0"/>
          <w:caps w:val="0"/>
          <w:color w:val="000000"/>
          <w:spacing w:val="0"/>
          <w:sz w:val="32"/>
          <w:szCs w:val="32"/>
        </w:rPr>
      </w:pPr>
      <w:r>
        <w:rPr>
          <w:rFonts w:hint="default" w:ascii="Times New Roman" w:hAnsi="Times New Roman" w:eastAsia="仿宋_GB2312" w:cs="Times New Roman"/>
          <w:sz w:val="32"/>
          <w:szCs w:val="32"/>
          <w:lang w:eastAsia="zh-CN"/>
        </w:rPr>
        <w:t>2023年度政府采购支出</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万元，其中：货物</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元，工程</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万元，服务</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政府性基金预算支出情况</w:t>
      </w:r>
    </w:p>
    <w:p>
      <w:pPr>
        <w:pStyle w:val="5"/>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Times New Roman" w:hAnsi="Times New Roman" w:eastAsia="仿宋_GB2312" w:cs="Times New Roman"/>
          <w:color w:val="auto"/>
          <w:kern w:val="0"/>
          <w:sz w:val="32"/>
          <w:szCs w:val="32"/>
          <w:lang w:val="en-US" w:eastAsia="zh-CN" w:bidi="ar-SA"/>
        </w:rPr>
        <w:t>本单位202</w:t>
      </w:r>
      <w:r>
        <w:rPr>
          <w:rFonts w:hint="eastAsia" w:cs="Times New Roman"/>
          <w:color w:val="auto"/>
          <w:kern w:val="0"/>
          <w:sz w:val="32"/>
          <w:szCs w:val="32"/>
          <w:lang w:val="en-US" w:eastAsia="zh-CN" w:bidi="ar-SA"/>
        </w:rPr>
        <w:t>3</w:t>
      </w:r>
      <w:r>
        <w:rPr>
          <w:rFonts w:hint="eastAsia" w:ascii="Times New Roman" w:hAnsi="Times New Roman" w:eastAsia="仿宋_GB2312" w:cs="Times New Roman"/>
          <w:color w:val="auto"/>
          <w:kern w:val="0"/>
          <w:sz w:val="32"/>
          <w:szCs w:val="32"/>
          <w:lang w:val="en-US" w:eastAsia="zh-CN" w:bidi="ar-SA"/>
        </w:rPr>
        <w:t>年无政府性基金预算支出</w:t>
      </w:r>
      <w:r>
        <w:rPr>
          <w:rFonts w:hint="eastAsia" w:cs="Times New Roman"/>
          <w:color w:val="auto"/>
          <w:kern w:val="0"/>
          <w:sz w:val="32"/>
          <w:szCs w:val="32"/>
          <w:lang w:val="en-US" w:eastAsia="zh-CN" w:bidi="ar-SA"/>
        </w:rPr>
        <w:t>。</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Times New Roman" w:hAnsi="Times New Roman" w:eastAsia="仿宋_GB2312" w:cs="Times New Roman"/>
          <w:color w:val="auto"/>
          <w:kern w:val="0"/>
          <w:sz w:val="32"/>
          <w:szCs w:val="32"/>
          <w:lang w:val="en-US" w:eastAsia="zh-CN" w:bidi="ar-SA"/>
        </w:rPr>
        <w:t>本单位202</w:t>
      </w:r>
      <w:r>
        <w:rPr>
          <w:rFonts w:hint="eastAsia" w:cs="Times New Roman"/>
          <w:color w:val="auto"/>
          <w:kern w:val="0"/>
          <w:sz w:val="32"/>
          <w:szCs w:val="32"/>
          <w:lang w:val="en-US" w:eastAsia="zh-CN" w:bidi="ar-SA"/>
        </w:rPr>
        <w:t>3</w:t>
      </w:r>
      <w:r>
        <w:rPr>
          <w:rFonts w:hint="eastAsia" w:ascii="Times New Roman" w:hAnsi="Times New Roman" w:eastAsia="仿宋_GB2312" w:cs="Times New Roman"/>
          <w:color w:val="auto"/>
          <w:kern w:val="0"/>
          <w:sz w:val="32"/>
          <w:szCs w:val="32"/>
          <w:lang w:val="en-US" w:eastAsia="zh-CN" w:bidi="ar-SA"/>
        </w:rPr>
        <w:t>年无国有资本经营预算支出。</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pPr>
        <w:pStyle w:val="5"/>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i w:val="0"/>
          <w:iCs w:val="0"/>
          <w:caps w:val="0"/>
          <w:color w:val="000000"/>
          <w:spacing w:val="0"/>
          <w:sz w:val="32"/>
          <w:szCs w:val="32"/>
          <w:shd w:val="clear" w:fill="FFFFFF"/>
        </w:rPr>
      </w:pPr>
      <w:r>
        <w:rPr>
          <w:rFonts w:hint="eastAsia" w:ascii="Times New Roman" w:hAnsi="Times New Roman" w:eastAsia="仿宋_GB2312" w:cs="Times New Roman"/>
          <w:color w:val="auto"/>
          <w:kern w:val="0"/>
          <w:sz w:val="32"/>
          <w:szCs w:val="32"/>
          <w:lang w:val="en-US" w:eastAsia="zh-CN" w:bidi="ar-SA"/>
        </w:rPr>
        <w:t>本单位202</w:t>
      </w:r>
      <w:r>
        <w:rPr>
          <w:rFonts w:hint="eastAsia" w:cs="Times New Roman"/>
          <w:color w:val="auto"/>
          <w:kern w:val="0"/>
          <w:sz w:val="32"/>
          <w:szCs w:val="32"/>
          <w:lang w:val="en-US" w:eastAsia="zh-CN" w:bidi="ar-SA"/>
        </w:rPr>
        <w:t>3</w:t>
      </w:r>
      <w:r>
        <w:rPr>
          <w:rFonts w:hint="eastAsia" w:ascii="Times New Roman" w:hAnsi="Times New Roman" w:eastAsia="仿宋_GB2312" w:cs="Times New Roman"/>
          <w:color w:val="auto"/>
          <w:kern w:val="0"/>
          <w:sz w:val="32"/>
          <w:szCs w:val="32"/>
          <w:lang w:val="en-US" w:eastAsia="zh-CN" w:bidi="ar-SA"/>
        </w:rPr>
        <w:t>年无社会保险基金预算支出。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（一）综合评价结论。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rPr>
      </w:pPr>
      <w:r>
        <w:rPr>
          <w:rFonts w:hint="default" w:ascii="Times New Roman" w:hAnsi="Times New Roman" w:eastAsia="仿宋_GB2312" w:cs="Times New Roman"/>
          <w:color w:val="auto"/>
          <w:kern w:val="0"/>
          <w:sz w:val="32"/>
          <w:szCs w:val="32"/>
          <w:lang w:val="en-US" w:eastAsia="zh-CN"/>
        </w:rPr>
        <w:t>绩效目标完成情况：工作完成率、工作完成及时率、质量达标率都达到了100%</w:t>
      </w:r>
      <w:r>
        <w:rPr>
          <w:rFonts w:hint="eastAsia" w:ascii="仿宋_GB2312" w:cs="仿宋_GB2312"/>
          <w:i w:val="0"/>
          <w:iCs w:val="0"/>
          <w:caps w:val="0"/>
          <w:color w:val="000000"/>
          <w:spacing w:val="0"/>
          <w:sz w:val="32"/>
          <w:szCs w:val="32"/>
          <w:shd w:val="clear" w:fill="FFFFFF"/>
          <w:lang w:eastAsia="zh-CN"/>
        </w:rPr>
        <w:t>，</w:t>
      </w:r>
      <w:r>
        <w:rPr>
          <w:rFonts w:hint="eastAsia" w:ascii="Times New Roman" w:hAnsi="Times New Roman" w:cs="Times New Roman"/>
          <w:color w:val="auto"/>
          <w:kern w:val="0"/>
          <w:sz w:val="32"/>
          <w:szCs w:val="32"/>
          <w:lang w:val="en-US" w:eastAsia="zh-CN" w:bidi="ar-SA"/>
        </w:rPr>
        <w:t>本单位</w:t>
      </w:r>
      <w:r>
        <w:rPr>
          <w:rFonts w:hint="eastAsia" w:ascii="Times New Roman" w:hAnsi="Times New Roman" w:eastAsia="仿宋_GB2312" w:cs="Times New Roman"/>
          <w:color w:val="auto"/>
          <w:kern w:val="0"/>
          <w:sz w:val="32"/>
          <w:szCs w:val="32"/>
          <w:lang w:val="en-US" w:eastAsia="zh-CN" w:bidi="ar-SA"/>
        </w:rPr>
        <w:t>绩效评估自评总得分为</w:t>
      </w:r>
      <w:r>
        <w:rPr>
          <w:rFonts w:hint="eastAsia" w:cs="Times New Roman"/>
          <w:color w:val="auto"/>
          <w:kern w:val="0"/>
          <w:sz w:val="32"/>
          <w:szCs w:val="32"/>
          <w:lang w:val="en-US" w:eastAsia="zh-CN" w:bidi="ar-SA"/>
        </w:rPr>
        <w:t>96</w:t>
      </w:r>
      <w:r>
        <w:rPr>
          <w:rFonts w:hint="eastAsia" w:ascii="Times New Roman" w:hAnsi="Times New Roman" w:eastAsia="仿宋_GB2312" w:cs="Times New Roman"/>
          <w:color w:val="auto"/>
          <w:kern w:val="0"/>
          <w:sz w:val="32"/>
          <w:szCs w:val="32"/>
          <w:lang w:val="en-US" w:eastAsia="zh-CN" w:bidi="ar-SA"/>
        </w:rPr>
        <w:t>分</w:t>
      </w:r>
      <w:r>
        <w:rPr>
          <w:rFonts w:hint="eastAsia" w:cs="Times New Roman"/>
          <w:color w:val="auto"/>
          <w:kern w:val="0"/>
          <w:sz w:val="32"/>
          <w:szCs w:val="32"/>
          <w:lang w:val="en-US" w:eastAsia="zh-CN" w:bidi="ar-SA"/>
        </w:rPr>
        <w:t>。</w:t>
      </w:r>
      <w:r>
        <w:rPr>
          <w:rFonts w:hint="eastAsia" w:ascii="仿宋" w:hAnsi="仿宋" w:eastAsia="仿宋"/>
          <w:bCs/>
          <w:sz w:val="32"/>
          <w:szCs w:val="32"/>
        </w:rPr>
        <w:t>本部门整体支出和项目支出实行绩效目标管理，纳入202</w:t>
      </w:r>
      <w:r>
        <w:rPr>
          <w:rFonts w:hint="eastAsia" w:ascii="仿宋" w:hAnsi="仿宋" w:eastAsia="仿宋"/>
          <w:bCs/>
          <w:sz w:val="32"/>
          <w:szCs w:val="32"/>
          <w:lang w:val="en-US" w:eastAsia="zh-CN"/>
        </w:rPr>
        <w:t>3</w:t>
      </w:r>
      <w:r>
        <w:rPr>
          <w:rFonts w:hint="eastAsia" w:ascii="仿宋" w:hAnsi="仿宋" w:eastAsia="仿宋"/>
          <w:bCs/>
          <w:sz w:val="32"/>
          <w:szCs w:val="32"/>
        </w:rPr>
        <w:t>年部门整体支出绩效目标的金额为</w:t>
      </w:r>
      <w:r>
        <w:rPr>
          <w:rFonts w:hint="eastAsia" w:ascii="仿宋" w:hAnsi="仿宋" w:eastAsia="仿宋"/>
          <w:bCs/>
          <w:sz w:val="32"/>
          <w:szCs w:val="32"/>
          <w:lang w:val="en-US" w:eastAsia="zh-CN"/>
        </w:rPr>
        <w:t>687.50</w:t>
      </w:r>
      <w:r>
        <w:rPr>
          <w:rFonts w:hint="eastAsia" w:ascii="仿宋" w:hAnsi="仿宋" w:eastAsia="仿宋"/>
          <w:bCs/>
          <w:sz w:val="32"/>
          <w:szCs w:val="32"/>
        </w:rPr>
        <w:t>万元，</w:t>
      </w:r>
      <w:r>
        <w:rPr>
          <w:rFonts w:hint="eastAsia" w:ascii="仿宋" w:hAnsi="仿宋" w:eastAsia="仿宋" w:cs="Arial Unicode MS"/>
          <w:sz w:val="32"/>
          <w:szCs w:val="32"/>
        </w:rPr>
        <w:t>其中：基本支出</w:t>
      </w:r>
      <w:r>
        <w:rPr>
          <w:rFonts w:hint="eastAsia" w:ascii="仿宋" w:hAnsi="仿宋" w:eastAsia="仿宋" w:cs="Arial Unicode MS"/>
          <w:sz w:val="32"/>
          <w:szCs w:val="32"/>
          <w:lang w:val="en-US" w:eastAsia="zh-CN"/>
        </w:rPr>
        <w:t>358.93</w:t>
      </w:r>
      <w:r>
        <w:rPr>
          <w:rFonts w:hint="eastAsia" w:ascii="仿宋" w:hAnsi="仿宋" w:eastAsia="仿宋" w:cs="Arial Unicode MS"/>
          <w:sz w:val="32"/>
          <w:szCs w:val="32"/>
        </w:rPr>
        <w:t>万元，项目支出</w:t>
      </w:r>
      <w:r>
        <w:rPr>
          <w:rFonts w:hint="eastAsia" w:ascii="仿宋" w:hAnsi="仿宋" w:eastAsia="仿宋" w:cs="Arial Unicode MS"/>
          <w:sz w:val="32"/>
          <w:szCs w:val="32"/>
          <w:lang w:val="en-US" w:eastAsia="zh-CN"/>
        </w:rPr>
        <w:t>328.57</w:t>
      </w:r>
      <w:r>
        <w:rPr>
          <w:rFonts w:hint="eastAsia" w:ascii="仿宋" w:hAnsi="仿宋" w:eastAsia="仿宋" w:cs="Arial Unicode MS"/>
          <w:sz w:val="32"/>
          <w:szCs w:val="32"/>
        </w:rPr>
        <w:t>万元</w:t>
      </w:r>
      <w:r>
        <w:rPr>
          <w:rFonts w:hint="eastAsia" w:ascii="仿宋" w:hAnsi="仿宋" w:eastAsia="仿宋" w:cs="Arial Unicode MS"/>
          <w:sz w:val="32"/>
          <w:szCs w:val="32"/>
          <w:lang w:eastAsia="zh-CN"/>
        </w:rPr>
        <w:t>，</w:t>
      </w:r>
      <w:r>
        <w:rPr>
          <w:rFonts w:hint="eastAsia" w:ascii="仿宋" w:hAnsi="仿宋" w:eastAsia="仿宋"/>
          <w:bCs/>
          <w:sz w:val="32"/>
          <w:szCs w:val="32"/>
        </w:rPr>
        <w:t>完成了年初制订的绩效工作目标。</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评价指标分析（或综合评价情况）。</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楷体_GB2312" w:eastAsia="楷体_GB2312" w:cs="楷体_GB2312"/>
          <w:i w:val="0"/>
          <w:iCs w:val="0"/>
          <w:caps w:val="0"/>
          <w:color w:val="000000"/>
          <w:spacing w:val="0"/>
          <w:sz w:val="32"/>
          <w:szCs w:val="32"/>
        </w:rPr>
      </w:pPr>
      <w:r>
        <w:rPr>
          <w:rFonts w:hint="eastAsia" w:ascii="仿宋" w:hAnsi="仿宋" w:eastAsia="仿宋"/>
          <w:sz w:val="32"/>
          <w:szCs w:val="32"/>
          <w:lang w:val="en-US" w:eastAsia="zh-CN"/>
        </w:rPr>
        <w:t>本</w:t>
      </w:r>
      <w:r>
        <w:rPr>
          <w:rFonts w:hint="eastAsia" w:ascii="仿宋" w:hAnsi="仿宋" w:eastAsia="仿宋"/>
          <w:sz w:val="32"/>
          <w:szCs w:val="32"/>
        </w:rPr>
        <w:t>单位在202</w:t>
      </w:r>
      <w:r>
        <w:rPr>
          <w:rFonts w:hint="eastAsia" w:ascii="仿宋" w:hAnsi="仿宋" w:eastAsia="仿宋"/>
          <w:sz w:val="32"/>
          <w:szCs w:val="32"/>
          <w:lang w:val="en-US" w:eastAsia="zh-CN"/>
        </w:rPr>
        <w:t>3</w:t>
      </w:r>
      <w:r>
        <w:rPr>
          <w:rFonts w:hint="eastAsia" w:ascii="仿宋" w:hAnsi="仿宋" w:eastAsia="仿宋"/>
          <w:sz w:val="32"/>
          <w:szCs w:val="32"/>
        </w:rPr>
        <w:t>年经费使用过程中加强管理，合理安排各项开支，精打细算，确保单位的正常运转，实现了收支平衡，年初设置目标绩效目标值100%完成</w:t>
      </w:r>
      <w:r>
        <w:rPr>
          <w:rFonts w:hint="eastAsia" w:ascii="仿宋" w:hAnsi="仿宋" w:eastAsia="仿宋"/>
          <w:sz w:val="32"/>
          <w:szCs w:val="32"/>
          <w:lang w:eastAsia="zh-CN"/>
        </w:rPr>
        <w:t>。</w:t>
      </w:r>
      <w:r>
        <w:rPr>
          <w:rFonts w:hint="eastAsia" w:ascii="仿宋" w:hAnsi="仿宋" w:eastAsia="仿宋"/>
          <w:bCs/>
          <w:sz w:val="32"/>
          <w:szCs w:val="32"/>
        </w:rPr>
        <w:t>1、人员经费保证了工作人员安心工作，全心全意服务社会、服务群众；2、办公设备的</w:t>
      </w:r>
      <w:r>
        <w:rPr>
          <w:rFonts w:hint="eastAsia" w:ascii="仿宋" w:hAnsi="仿宋" w:eastAsia="仿宋"/>
          <w:bCs/>
          <w:sz w:val="32"/>
          <w:szCs w:val="32"/>
          <w:lang w:val="en-US" w:eastAsia="zh-CN"/>
        </w:rPr>
        <w:t>不断</w:t>
      </w:r>
      <w:r>
        <w:rPr>
          <w:rFonts w:hint="eastAsia" w:ascii="仿宋" w:hAnsi="仿宋" w:eastAsia="仿宋"/>
          <w:bCs/>
          <w:sz w:val="32"/>
          <w:szCs w:val="32"/>
        </w:rPr>
        <w:t>完善大大提高了工作效率、也为工作人员提供了一个</w:t>
      </w:r>
      <w:r>
        <w:rPr>
          <w:rFonts w:hint="eastAsia" w:ascii="仿宋" w:hAnsi="仿宋" w:eastAsia="仿宋"/>
          <w:bCs/>
          <w:sz w:val="32"/>
          <w:szCs w:val="32"/>
          <w:lang w:val="en-US" w:eastAsia="zh-CN"/>
        </w:rPr>
        <w:t>舒适</w:t>
      </w:r>
      <w:r>
        <w:rPr>
          <w:rFonts w:hint="eastAsia" w:ascii="仿宋" w:hAnsi="仿宋" w:eastAsia="仿宋"/>
          <w:bCs/>
          <w:sz w:val="32"/>
          <w:szCs w:val="32"/>
        </w:rPr>
        <w:t>的</w:t>
      </w:r>
      <w:r>
        <w:rPr>
          <w:rFonts w:hint="eastAsia" w:ascii="仿宋" w:hAnsi="仿宋" w:eastAsia="仿宋"/>
          <w:bCs/>
          <w:sz w:val="32"/>
          <w:szCs w:val="32"/>
          <w:lang w:val="en-US" w:eastAsia="zh-CN"/>
        </w:rPr>
        <w:t>办公</w:t>
      </w:r>
      <w:r>
        <w:rPr>
          <w:rFonts w:hint="eastAsia" w:ascii="仿宋" w:hAnsi="仿宋" w:eastAsia="仿宋"/>
          <w:bCs/>
          <w:sz w:val="32"/>
          <w:szCs w:val="32"/>
        </w:rPr>
        <w:t>环境。3、办公费用保证了单位的正常运转。4、“三公”经费</w:t>
      </w:r>
      <w:r>
        <w:rPr>
          <w:rFonts w:hint="eastAsia" w:ascii="仿宋" w:hAnsi="仿宋" w:eastAsia="仿宋"/>
          <w:bCs/>
          <w:sz w:val="32"/>
          <w:szCs w:val="32"/>
          <w:lang w:val="en-US" w:eastAsia="zh-CN"/>
        </w:rPr>
        <w:t>严格按照中央和省政府关于党政机关厉行节约反对浪费的规定执行</w:t>
      </w:r>
      <w:r>
        <w:rPr>
          <w:rFonts w:hint="eastAsia" w:ascii="仿宋" w:hAnsi="仿宋" w:eastAsia="仿宋"/>
          <w:bCs/>
          <w:sz w:val="32"/>
          <w:szCs w:val="32"/>
        </w:rPr>
        <w:t>。</w:t>
      </w:r>
      <w:r>
        <w:rPr>
          <w:rFonts w:hint="default" w:ascii="仿宋_GB2312" w:eastAsia="仿宋_GB2312" w:cs="仿宋_GB2312"/>
          <w:i w:val="0"/>
          <w:iCs w:val="0"/>
          <w:caps w:val="0"/>
          <w:color w:val="000000"/>
          <w:spacing w:val="0"/>
          <w:sz w:val="32"/>
          <w:szCs w:val="32"/>
          <w:shd w:val="clear" w:fill="FFFFFF"/>
        </w:rPr>
        <w:t>围绕部门职责、行业发展规划，以预算资金管理为主线，从整体绩效目标设定、预算配置、预算执行、预算管理、资产管理、职责履行、履职效益等方面综合分析。</w:t>
      </w:r>
      <w:r>
        <w:rPr>
          <w:rFonts w:hint="default" w:ascii="Times New Roman" w:hAnsi="Times New Roman" w:eastAsia="楷体_GB2312" w:cs="Times New Roman"/>
          <w:i w:val="0"/>
          <w:iCs w:val="0"/>
          <w:caps w:val="0"/>
          <w:color w:val="000000"/>
          <w:spacing w:val="0"/>
          <w:sz w:val="32"/>
          <w:szCs w:val="32"/>
          <w:shd w:val="clear" w:fill="FFFFFF"/>
        </w:rPr>
        <w:t>总</w:t>
      </w:r>
      <w:r>
        <w:rPr>
          <w:rFonts w:hint="default" w:ascii="仿宋_GB2312" w:eastAsia="仿宋_GB2312" w:cs="仿宋_GB2312"/>
          <w:i w:val="0"/>
          <w:iCs w:val="0"/>
          <w:caps w:val="0"/>
          <w:color w:val="000000"/>
          <w:spacing w:val="0"/>
          <w:sz w:val="32"/>
          <w:szCs w:val="32"/>
          <w:shd w:val="clear" w:fill="FFFFFF"/>
        </w:rPr>
        <w:t>结归纳本部门"四本预算"支出的绩效目标完成情况，实现产出和取得效益的情况。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（一）医保基金监管存在薄弱环节。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both"/>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一是监管工作线长面广。全</w:t>
      </w:r>
      <w:r>
        <w:rPr>
          <w:rFonts w:hint="eastAsia" w:ascii="Times New Roman" w:hAnsi="Times New Roman" w:cs="Times New Roman"/>
          <w:color w:val="auto"/>
          <w:kern w:val="0"/>
          <w:sz w:val="32"/>
          <w:szCs w:val="32"/>
          <w:lang w:val="en-US" w:eastAsia="zh-CN" w:bidi="ar-SA"/>
        </w:rPr>
        <w:t>县</w:t>
      </w:r>
      <w:r>
        <w:rPr>
          <w:rFonts w:hint="eastAsia" w:ascii="Times New Roman" w:hAnsi="Times New Roman" w:eastAsia="仿宋_GB2312" w:cs="Times New Roman"/>
          <w:color w:val="auto"/>
          <w:kern w:val="0"/>
          <w:sz w:val="32"/>
          <w:szCs w:val="32"/>
          <w:lang w:val="en-US" w:eastAsia="zh-CN" w:bidi="ar-SA"/>
        </w:rPr>
        <w:t>医保参保人员</w:t>
      </w:r>
      <w:r>
        <w:rPr>
          <w:rFonts w:hint="eastAsia" w:ascii="Times New Roman" w:hAnsi="Times New Roman" w:cs="Times New Roman"/>
          <w:color w:val="auto"/>
          <w:kern w:val="0"/>
          <w:sz w:val="32"/>
          <w:szCs w:val="32"/>
          <w:lang w:val="en-US" w:eastAsia="zh-CN" w:bidi="ar-SA"/>
        </w:rPr>
        <w:t>2</w:t>
      </w:r>
      <w:r>
        <w:rPr>
          <w:rFonts w:hint="eastAsia" w:ascii="Times New Roman" w:hAnsi="Times New Roman" w:eastAsia="仿宋_GB2312" w:cs="Times New Roman"/>
          <w:color w:val="auto"/>
          <w:kern w:val="0"/>
          <w:sz w:val="32"/>
          <w:szCs w:val="32"/>
          <w:lang w:val="en-US" w:eastAsia="zh-CN" w:bidi="ar-SA"/>
        </w:rPr>
        <w:t>0多万人、协议医疗机构</w:t>
      </w:r>
      <w:r>
        <w:rPr>
          <w:rFonts w:hint="eastAsia" w:ascii="Times New Roman" w:hAnsi="Times New Roman" w:cs="Times New Roman"/>
          <w:color w:val="auto"/>
          <w:kern w:val="0"/>
          <w:sz w:val="32"/>
          <w:szCs w:val="32"/>
          <w:lang w:val="en-US" w:eastAsia="zh-CN" w:bidi="ar-SA"/>
        </w:rPr>
        <w:t>1</w:t>
      </w:r>
      <w:r>
        <w:rPr>
          <w:rFonts w:hint="eastAsia" w:cs="Times New Roman"/>
          <w:color w:val="auto"/>
          <w:kern w:val="0"/>
          <w:sz w:val="32"/>
          <w:szCs w:val="32"/>
          <w:lang w:val="en-US" w:eastAsia="zh-CN" w:bidi="ar-SA"/>
        </w:rPr>
        <w:t>9</w:t>
      </w:r>
      <w:r>
        <w:rPr>
          <w:rFonts w:hint="eastAsia" w:ascii="Times New Roman" w:hAnsi="Times New Roman" w:eastAsia="仿宋_GB2312" w:cs="Times New Roman"/>
          <w:color w:val="auto"/>
          <w:kern w:val="0"/>
          <w:sz w:val="32"/>
          <w:szCs w:val="32"/>
          <w:lang w:val="en-US" w:eastAsia="zh-CN" w:bidi="ar-SA"/>
        </w:rPr>
        <w:t>家，基金年收支规模近</w:t>
      </w:r>
      <w:r>
        <w:rPr>
          <w:rFonts w:hint="eastAsia" w:ascii="Times New Roman" w:hAnsi="Times New Roman" w:cs="Times New Roman"/>
          <w:color w:val="auto"/>
          <w:kern w:val="0"/>
          <w:sz w:val="32"/>
          <w:szCs w:val="32"/>
          <w:lang w:val="en-US" w:eastAsia="zh-CN" w:bidi="ar-SA"/>
        </w:rPr>
        <w:t>4</w:t>
      </w:r>
      <w:r>
        <w:rPr>
          <w:rFonts w:hint="eastAsia" w:ascii="Times New Roman" w:hAnsi="Times New Roman" w:eastAsia="仿宋_GB2312" w:cs="Times New Roman"/>
          <w:color w:val="auto"/>
          <w:kern w:val="0"/>
          <w:sz w:val="32"/>
          <w:szCs w:val="32"/>
          <w:lang w:val="en-US" w:eastAsia="zh-CN" w:bidi="ar-SA"/>
        </w:rPr>
        <w:t>亿元。涉及面广、风险点多。二是监管手段相对涉后，没有专门的行政执法队伍，调查取证较为困难。增加了医保监管难度，尤以定点零售药店最为突出。</w:t>
      </w:r>
      <w:r>
        <w:rPr>
          <w:rFonts w:hint="eastAsia" w:ascii="Times New Roman" w:hAnsi="Times New Roman" w:cs="Times New Roman"/>
          <w:color w:val="auto"/>
          <w:kern w:val="0"/>
          <w:sz w:val="32"/>
          <w:szCs w:val="32"/>
          <w:lang w:val="en-US" w:eastAsia="zh-CN" w:bidi="ar-SA"/>
        </w:rPr>
        <w:t xml:space="preserve"> </w:t>
      </w:r>
    </w:p>
    <w:p>
      <w:pPr>
        <w:keepNext w:val="0"/>
        <w:keepLines w:val="0"/>
        <w:pageBreakBefore w:val="0"/>
        <w:numPr>
          <w:numId w:val="0"/>
        </w:numPr>
        <w:kinsoku/>
        <w:wordWrap/>
        <w:overflowPunct/>
        <w:topLinePunct w:val="0"/>
        <w:autoSpaceDE/>
        <w:autoSpaceDN/>
        <w:bidi w:val="0"/>
        <w:adjustRightInd/>
        <w:snapToGrid/>
        <w:spacing w:line="560" w:lineRule="exact"/>
        <w:ind w:leftChars="200"/>
        <w:textAlignment w:val="auto"/>
        <w:rPr>
          <w:rFonts w:hint="eastAsia" w:ascii="Times New Roman" w:hAnsi="Times New Roman" w:eastAsia="仿宋_GB2312" w:cs="Times New Roman"/>
          <w:color w:val="auto"/>
          <w:kern w:val="0"/>
          <w:sz w:val="32"/>
          <w:szCs w:val="32"/>
          <w:lang w:val="en-US" w:eastAsia="zh-CN" w:bidi="ar-SA"/>
        </w:rPr>
      </w:pPr>
      <w:r>
        <w:rPr>
          <w:rFonts w:hint="eastAsia" w:cs="Times New Roman"/>
          <w:color w:val="auto"/>
          <w:kern w:val="0"/>
          <w:sz w:val="32"/>
          <w:szCs w:val="32"/>
          <w:lang w:val="en-US" w:eastAsia="zh-CN" w:bidi="ar-SA"/>
        </w:rPr>
        <w:t>（二）</w:t>
      </w:r>
      <w:r>
        <w:rPr>
          <w:rFonts w:hint="eastAsia" w:ascii="Times New Roman" w:hAnsi="Times New Roman" w:eastAsia="仿宋_GB2312" w:cs="Times New Roman"/>
          <w:color w:val="auto"/>
          <w:kern w:val="0"/>
          <w:sz w:val="32"/>
          <w:szCs w:val="32"/>
          <w:lang w:val="en-US" w:eastAsia="zh-CN" w:bidi="ar-SA"/>
        </w:rPr>
        <w:t>人员力量薄弱，人员队伍有待充实</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我局及二级机构医保事务中心拥有</w:t>
      </w:r>
      <w:r>
        <w:rPr>
          <w:rFonts w:hint="eastAsia" w:cs="Times New Roman"/>
          <w:color w:val="auto"/>
          <w:kern w:val="0"/>
          <w:sz w:val="32"/>
          <w:szCs w:val="32"/>
          <w:lang w:val="en-US" w:eastAsia="zh-CN" w:bidi="ar-SA"/>
        </w:rPr>
        <w:t>38</w:t>
      </w:r>
      <w:r>
        <w:rPr>
          <w:rFonts w:hint="eastAsia" w:ascii="Times New Roman" w:hAnsi="Times New Roman" w:eastAsia="仿宋_GB2312" w:cs="Times New Roman"/>
          <w:color w:val="auto"/>
          <w:kern w:val="0"/>
          <w:sz w:val="32"/>
          <w:szCs w:val="32"/>
          <w:lang w:val="en-US" w:eastAsia="zh-CN" w:bidi="ar-SA"/>
        </w:rPr>
        <w:t>个编制，在职也只有2</w:t>
      </w:r>
      <w:r>
        <w:rPr>
          <w:rFonts w:hint="eastAsia" w:cs="Times New Roman"/>
          <w:color w:val="auto"/>
          <w:kern w:val="0"/>
          <w:sz w:val="32"/>
          <w:szCs w:val="32"/>
          <w:lang w:val="en-US" w:eastAsia="zh-CN" w:bidi="ar-SA"/>
        </w:rPr>
        <w:t>7</w:t>
      </w:r>
      <w:r>
        <w:rPr>
          <w:rFonts w:hint="eastAsia" w:ascii="Times New Roman" w:hAnsi="Times New Roman" w:eastAsia="仿宋_GB2312" w:cs="Times New Roman"/>
          <w:color w:val="auto"/>
          <w:kern w:val="0"/>
          <w:sz w:val="32"/>
          <w:szCs w:val="32"/>
          <w:lang w:val="en-US" w:eastAsia="zh-CN" w:bidi="ar-SA"/>
        </w:rPr>
        <w:t>人，工作人员</w:t>
      </w:r>
      <w:r>
        <w:rPr>
          <w:rFonts w:hint="eastAsia" w:cs="Times New Roman"/>
          <w:color w:val="auto"/>
          <w:kern w:val="0"/>
          <w:sz w:val="32"/>
          <w:szCs w:val="32"/>
          <w:lang w:val="en-US" w:eastAsia="zh-CN" w:bidi="ar-SA"/>
        </w:rPr>
        <w:t>严重</w:t>
      </w:r>
      <w:r>
        <w:rPr>
          <w:rFonts w:hint="eastAsia" w:ascii="Times New Roman" w:hAnsi="Times New Roman" w:eastAsia="仿宋_GB2312" w:cs="Times New Roman"/>
          <w:color w:val="auto"/>
          <w:kern w:val="0"/>
          <w:sz w:val="32"/>
          <w:szCs w:val="32"/>
          <w:lang w:val="en-US" w:eastAsia="zh-CN" w:bidi="ar-SA"/>
        </w:rPr>
        <w:t>不足。</w:t>
      </w:r>
    </w:p>
    <w:p>
      <w:pPr>
        <w:pStyle w:val="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下一步改进措施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88" w:lineRule="atLeast"/>
        <w:ind w:right="0" w:firstLine="643" w:firstLineChars="200"/>
        <w:jc w:val="left"/>
        <w:rPr>
          <w:rFonts w:hint="eastAsia" w:ascii="微软雅黑" w:hAnsi="微软雅黑" w:eastAsia="微软雅黑" w:cs="微软雅黑"/>
          <w:i w:val="0"/>
          <w:iCs w:val="0"/>
          <w:caps w:val="0"/>
          <w:color w:val="444444"/>
          <w:spacing w:val="0"/>
          <w:sz w:val="19"/>
          <w:szCs w:val="19"/>
        </w:rPr>
      </w:pPr>
      <w:r>
        <w:rPr>
          <w:rFonts w:ascii="楷体" w:hAnsi="楷体" w:eastAsia="楷体" w:cs="楷体"/>
          <w:b/>
          <w:bCs/>
          <w:i w:val="0"/>
          <w:iCs w:val="0"/>
          <w:caps w:val="0"/>
          <w:color w:val="000000"/>
          <w:spacing w:val="0"/>
          <w:kern w:val="0"/>
          <w:sz w:val="32"/>
          <w:szCs w:val="32"/>
          <w:shd w:val="clear" w:color="auto" w:fill="FFFFFF"/>
          <w:lang w:val="en-US" w:eastAsia="zh-CN" w:bidi="ar"/>
        </w:rPr>
        <w:t>（一）增强绩效意识、科学设置绩效目标。</w:t>
      </w:r>
      <w:r>
        <w:rPr>
          <w:rFonts w:ascii="仿宋" w:hAnsi="仿宋" w:eastAsia="仿宋" w:cs="仿宋"/>
          <w:i w:val="0"/>
          <w:iCs w:val="0"/>
          <w:caps w:val="0"/>
          <w:color w:val="000000"/>
          <w:spacing w:val="0"/>
          <w:kern w:val="0"/>
          <w:sz w:val="32"/>
          <w:szCs w:val="32"/>
          <w:shd w:val="clear" w:color="auto" w:fill="FFFFFF"/>
          <w:lang w:val="en-US" w:eastAsia="zh-CN" w:bidi="ar"/>
        </w:rPr>
        <w:t>单位加强绩效政策学习，增强绩效意识，绩效目标设置要做到指向明确、合理可行、相应匹配、细化量化，把绩效目标设置得更科学规范，使绩效目标真正发挥指导性作用。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88" w:lineRule="atLeast"/>
        <w:ind w:left="0" w:right="0" w:firstLine="643"/>
        <w:jc w:val="left"/>
        <w:rPr>
          <w:rFonts w:hint="eastAsia" w:ascii="微软雅黑" w:hAnsi="微软雅黑" w:eastAsia="微软雅黑" w:cs="微软雅黑"/>
          <w:i w:val="0"/>
          <w:iCs w:val="0"/>
          <w:caps w:val="0"/>
          <w:color w:val="444444"/>
          <w:spacing w:val="0"/>
          <w:sz w:val="19"/>
          <w:szCs w:val="19"/>
        </w:rPr>
      </w:pPr>
      <w:r>
        <w:rPr>
          <w:rFonts w:hint="eastAsia" w:ascii="楷体" w:hAnsi="楷体" w:eastAsia="楷体" w:cs="楷体"/>
          <w:b/>
          <w:bCs/>
          <w:i w:val="0"/>
          <w:iCs w:val="0"/>
          <w:caps w:val="0"/>
          <w:color w:val="000000"/>
          <w:spacing w:val="0"/>
          <w:kern w:val="0"/>
          <w:sz w:val="32"/>
          <w:szCs w:val="32"/>
          <w:shd w:val="clear" w:color="auto" w:fill="FFFFFF"/>
          <w:lang w:val="en-US" w:eastAsia="zh-CN" w:bidi="ar"/>
        </w:rPr>
        <w:t>（二）完善财务制度，严格把控财务报账。</w:t>
      </w:r>
      <w:r>
        <w:rPr>
          <w:rFonts w:hint="eastAsia" w:ascii="仿宋" w:hAnsi="仿宋" w:eastAsia="仿宋" w:cs="仿宋"/>
          <w:i w:val="0"/>
          <w:iCs w:val="0"/>
          <w:caps w:val="0"/>
          <w:color w:val="000000"/>
          <w:spacing w:val="0"/>
          <w:kern w:val="0"/>
          <w:sz w:val="32"/>
          <w:szCs w:val="32"/>
          <w:shd w:val="clear" w:color="auto" w:fill="FFFFFF"/>
          <w:lang w:val="en-US" w:eastAsia="zh-CN" w:bidi="ar"/>
        </w:rPr>
        <w:t>单位要不断完善财务制度，落实岗位责任，并加强对财务人员及相关工作人员的业务培训，提高业务能力，严格按照财务制度要求规范报销行为，做到超标准不报，票据资料不齐不报。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88" w:lineRule="atLeast"/>
        <w:ind w:left="0" w:right="0" w:firstLine="643"/>
        <w:jc w:val="left"/>
        <w:rPr>
          <w:rFonts w:hint="default" w:ascii="黑体" w:hAnsi="黑体" w:eastAsia="黑体" w:cs="黑体"/>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kern w:val="0"/>
          <w:sz w:val="32"/>
          <w:szCs w:val="32"/>
          <w:shd w:val="clear" w:color="auto" w:fill="FFFFFF"/>
          <w:lang w:val="en-US" w:eastAsia="zh-CN" w:bidi="ar"/>
        </w:rPr>
        <w:t>（三）合理编制财政预算。</w:t>
      </w:r>
      <w:r>
        <w:rPr>
          <w:rFonts w:hint="eastAsia" w:ascii="仿宋" w:hAnsi="仿宋" w:eastAsia="仿宋" w:cs="仿宋"/>
          <w:i w:val="0"/>
          <w:iCs w:val="0"/>
          <w:caps w:val="0"/>
          <w:color w:val="000000"/>
          <w:spacing w:val="0"/>
          <w:kern w:val="0"/>
          <w:sz w:val="32"/>
          <w:szCs w:val="32"/>
          <w:shd w:val="clear" w:color="auto" w:fill="FFFFFF"/>
          <w:lang w:val="en-US" w:eastAsia="zh-CN" w:bidi="ar"/>
        </w:rPr>
        <w:t>单位应该结合上年度预算执行情况及本年度预算收支变化因素来编制本年度预算，充分考虑在执行的过程中可能发生的问题，加强预算的科学性、可操作性，减少或避免预算调整，提高资金使用效率。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textAlignment w:val="auto"/>
        <w:rPr>
          <w:rFonts w:hint="default" w:ascii="Times New Roman" w:hAnsi="Times New Roman" w:eastAsia="仿宋_GB2312" w:cs="Times New Roman"/>
          <w:i w:val="0"/>
          <w:iCs w:val="0"/>
          <w:caps w:val="0"/>
          <w:color w:val="000000"/>
          <w:spacing w:val="0"/>
          <w:sz w:val="24"/>
          <w:szCs w:val="24"/>
          <w:lang w:val="en-US" w:eastAsia="zh-CN"/>
        </w:rPr>
      </w:pPr>
      <w:r>
        <w:rPr>
          <w:rFonts w:hint="eastAsia" w:cs="Times New Roman"/>
          <w:i w:val="0"/>
          <w:iCs w:val="0"/>
          <w:caps w:val="0"/>
          <w:color w:val="000000"/>
          <w:spacing w:val="0"/>
          <w:sz w:val="24"/>
          <w:szCs w:val="24"/>
          <w:lang w:val="en-US" w:eastAsia="zh-CN"/>
        </w:rPr>
        <w:t xml:space="preserve">      </w:t>
      </w:r>
      <w:r>
        <w:rPr>
          <w:rFonts w:hint="eastAsia" w:ascii="仿宋" w:hAnsi="仿宋" w:eastAsia="仿宋" w:cs="仿宋"/>
          <w:i w:val="0"/>
          <w:iCs w:val="0"/>
          <w:caps w:val="0"/>
          <w:color w:val="000000"/>
          <w:spacing w:val="0"/>
          <w:kern w:val="0"/>
          <w:sz w:val="32"/>
          <w:szCs w:val="32"/>
          <w:shd w:val="clear" w:color="auto" w:fill="FFFFFF"/>
          <w:lang w:val="en-US" w:eastAsia="zh-CN" w:bidi="ar"/>
        </w:rPr>
        <w:t>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报告应包括以下附件：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1.</w:t>
      </w:r>
      <w:r>
        <w:rPr>
          <w:rFonts w:hint="default" w:ascii="仿宋_GB2312" w:eastAsia="仿宋_GB2312" w:cs="仿宋_GB2312"/>
          <w:i w:val="0"/>
          <w:iCs w:val="0"/>
          <w:caps w:val="0"/>
          <w:color w:val="000000"/>
          <w:spacing w:val="0"/>
          <w:sz w:val="32"/>
          <w:szCs w:val="32"/>
          <w:shd w:val="clear" w:fill="FFFFFF"/>
        </w:rPr>
        <w:t>部门整体支出绩效评价基础数据表</w:t>
      </w:r>
      <w:r>
        <w:rPr>
          <w:rFonts w:hint="eastAsia" w:ascii="仿宋_GB2312" w:eastAsia="仿宋_GB2312" w:cs="仿宋_GB2312"/>
          <w:i w:val="0"/>
          <w:iCs w:val="0"/>
          <w:caps w:val="0"/>
          <w:color w:val="000000"/>
          <w:spacing w:val="0"/>
          <w:sz w:val="32"/>
          <w:szCs w:val="32"/>
          <w:shd w:val="clear" w:fill="FFFFFF"/>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2.</w:t>
      </w:r>
      <w:r>
        <w:rPr>
          <w:rFonts w:hint="default" w:ascii="仿宋_GB2312" w:eastAsia="仿宋_GB2312" w:cs="仿宋_GB2312"/>
          <w:i w:val="0"/>
          <w:iCs w:val="0"/>
          <w:caps w:val="0"/>
          <w:color w:val="000000"/>
          <w:spacing w:val="0"/>
          <w:sz w:val="32"/>
          <w:szCs w:val="32"/>
          <w:shd w:val="clear" w:fill="FFFFFF"/>
        </w:rPr>
        <w:t>部门整体支出绩效自评表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_GB2312" w:eastAsia="仿宋_GB2312" w:cs="仿宋_GB2312"/>
          <w:i w:val="0"/>
          <w:iCs w:val="0"/>
          <w:caps w:val="0"/>
          <w:color w:val="000000"/>
          <w:spacing w:val="0"/>
          <w:sz w:val="32"/>
          <w:szCs w:val="32"/>
          <w:shd w:val="clear" w:fill="FFFFFF"/>
          <w:lang w:val="en-US" w:eastAsia="zh-CN"/>
        </w:rPr>
      </w:pPr>
      <w:r>
        <w:rPr>
          <w:rFonts w:hint="eastAsia" w:ascii="仿宋_GB2312" w:eastAsia="仿宋_GB2312" w:cs="仿宋_GB2312"/>
          <w:i w:val="0"/>
          <w:iCs w:val="0"/>
          <w:caps w:val="0"/>
          <w:color w:val="000000"/>
          <w:spacing w:val="0"/>
          <w:sz w:val="32"/>
          <w:szCs w:val="32"/>
          <w:shd w:val="clear" w:fill="FFFFFF"/>
          <w:lang w:val="en-US" w:eastAsia="zh-CN"/>
        </w:rPr>
        <w:t>3、项目支出绩效自评表（每个项目支出一张表！）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jc w:val="left"/>
        <w:rPr>
          <w:rFonts w:hint="eastAsia" w:ascii="仿宋" w:hAnsi="仿宋" w:eastAsia="仿宋" w:cs="仿宋"/>
          <w:b/>
          <w:bCs/>
          <w:sz w:val="30"/>
          <w:szCs w:val="30"/>
          <w:lang w:val="en-US" w:eastAsia="zh-CN"/>
        </w:rPr>
      </w:pPr>
      <w:bookmarkStart w:id="0" w:name="_GoBack"/>
      <w:bookmarkEnd w:id="0"/>
    </w:p>
    <w:sectPr>
      <w:pgSz w:w="11906" w:h="16838"/>
      <w:pgMar w:top="1440" w:right="1134"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66E684"/>
    <w:multiLevelType w:val="singleLevel"/>
    <w:tmpl w:val="DA66E684"/>
    <w:lvl w:ilvl="0" w:tentative="0">
      <w:start w:val="2"/>
      <w:numFmt w:val="chineseCounting"/>
      <w:suff w:val="nothing"/>
      <w:lvlText w:val="（%1）"/>
      <w:lvlJc w:val="left"/>
      <w:rPr>
        <w:rFonts w:hint="eastAsia"/>
      </w:rPr>
    </w:lvl>
  </w:abstractNum>
  <w:abstractNum w:abstractNumId="1">
    <w:nsid w:val="FB24EBB3"/>
    <w:multiLevelType w:val="singleLevel"/>
    <w:tmpl w:val="FB24EBB3"/>
    <w:lvl w:ilvl="0" w:tentative="0">
      <w:start w:val="2"/>
      <w:numFmt w:val="chineseCounting"/>
      <w:suff w:val="nothing"/>
      <w:lvlText w:val="（%1）"/>
      <w:lvlJc w:val="left"/>
      <w:rPr>
        <w:rFonts w:hint="eastAsia"/>
      </w:rPr>
    </w:lvl>
  </w:abstractNum>
  <w:abstractNum w:abstractNumId="2">
    <w:nsid w:val="312060B7"/>
    <w:multiLevelType w:val="singleLevel"/>
    <w:tmpl w:val="312060B7"/>
    <w:lvl w:ilvl="0" w:tentative="0">
      <w:start w:val="3"/>
      <w:numFmt w:val="chineseCounting"/>
      <w:suff w:val="nothing"/>
      <w:lvlText w:val="%1、"/>
      <w:lvlJc w:val="left"/>
      <w:rPr>
        <w:rFonts w:hint="eastAsia"/>
      </w:rPr>
    </w:lvl>
  </w:abstractNum>
  <w:abstractNum w:abstractNumId="3">
    <w:nsid w:val="6716AA00"/>
    <w:multiLevelType w:val="singleLevel"/>
    <w:tmpl w:val="6716AA00"/>
    <w:lvl w:ilvl="0" w:tentative="0">
      <w:start w:val="8"/>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lMzk1MzJiZDczMGE0YTJhYzc0NmRlM2YyYmRlNTIifQ=="/>
    <w:docVar w:name="KSO_WPS_MARK_KEY" w:val="2cad2da4-8c74-4208-b950-09c4ddb6f378"/>
  </w:docVars>
  <w:rsids>
    <w:rsidRoot w:val="00000000"/>
    <w:rsid w:val="07577FFE"/>
    <w:rsid w:val="12CF5437"/>
    <w:rsid w:val="15BB3E4D"/>
    <w:rsid w:val="1EA33F65"/>
    <w:rsid w:val="269E5DD8"/>
    <w:rsid w:val="3C4928A9"/>
    <w:rsid w:val="4B72396B"/>
    <w:rsid w:val="6E703F06"/>
    <w:rsid w:val="6FA92F3B"/>
    <w:rsid w:val="7A0A2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List Paragraph"/>
    <w:basedOn w:val="1"/>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892</Words>
  <Characters>944</Characters>
  <Lines>0</Lines>
  <Paragraphs>0</Paragraphs>
  <TotalTime>0</TotalTime>
  <ScaleCrop>false</ScaleCrop>
  <LinksUpToDate>false</LinksUpToDate>
  <CharactersWithSpaces>952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2021-09-17T07:11:00Z</dcterms:created>
  <dc:creator>Administrator</dc:creator>
  <cp:lastModifiedBy>hi</cp:lastModifiedBy>
  <cp:lastPrinted>2024-06-04T03:02:28Z</cp:lastPrinted>
  <dcterms:modified xsi:type="dcterms:W3CDTF">2024-06-04T03:06:27Z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80D5465B787A441EA9D67319997C2083_13</vt:lpwstr>
  </property>
</Properties>
</file>