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B3AF7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附件1</w:t>
      </w:r>
    </w:p>
    <w:p w14:paraId="5E9AA73A">
      <w:pPr>
        <w:spacing w:line="600" w:lineRule="exact"/>
        <w:rPr>
          <w:rFonts w:ascii="Times New Roman" w:hAnsi="Times New Roman" w:eastAsia="黑体" w:cs="Times New Roman"/>
          <w:sz w:val="32"/>
          <w:szCs w:val="32"/>
        </w:rPr>
      </w:pPr>
    </w:p>
    <w:p w14:paraId="45D3FD1C">
      <w:pPr>
        <w:spacing w:line="600" w:lineRule="exact"/>
        <w:rPr>
          <w:rFonts w:ascii="Times New Roman" w:hAnsi="Times New Roman" w:eastAsia="黑体" w:cs="Times New Roman"/>
          <w:sz w:val="32"/>
          <w:szCs w:val="32"/>
        </w:rPr>
      </w:pPr>
    </w:p>
    <w:p w14:paraId="05AB11AF">
      <w:pPr>
        <w:jc w:val="center"/>
        <w:rPr>
          <w:rFonts w:ascii="Times New Roman" w:hAnsi="Times New Roman" w:eastAsia="方正小标宋_GBK" w:cs="Times New Roman"/>
          <w:sz w:val="52"/>
          <w:szCs w:val="52"/>
        </w:rPr>
      </w:pPr>
      <w:r>
        <w:rPr>
          <w:rFonts w:ascii="Times New Roman" w:hAnsi="Times New Roman" w:eastAsia="方正小标宋_GBK" w:cs="Times New Roman"/>
          <w:sz w:val="52"/>
          <w:szCs w:val="52"/>
        </w:rPr>
        <w:t>202</w:t>
      </w:r>
      <w:r>
        <w:rPr>
          <w:rFonts w:hint="eastAsia" w:eastAsia="方正小标宋_GBK" w:cs="Times New Roman"/>
          <w:sz w:val="52"/>
          <w:szCs w:val="52"/>
          <w:lang w:val="en-US" w:eastAsia="zh-CN"/>
        </w:rPr>
        <w:t>3</w:t>
      </w:r>
      <w:r>
        <w:rPr>
          <w:rFonts w:ascii="Times New Roman" w:hAnsi="Times New Roman" w:eastAsia="方正小标宋_GBK" w:cs="Times New Roman"/>
          <w:sz w:val="52"/>
          <w:szCs w:val="52"/>
        </w:rPr>
        <w:t>年度</w:t>
      </w:r>
      <w:r>
        <w:rPr>
          <w:rFonts w:hint="eastAsia" w:eastAsia="方正小标宋_GBK" w:cs="Times New Roman"/>
          <w:sz w:val="52"/>
          <w:szCs w:val="52"/>
          <w:lang w:eastAsia="zh-CN"/>
        </w:rPr>
        <w:t>金紫乡人民政府部门</w:t>
      </w:r>
      <w:r>
        <w:rPr>
          <w:rFonts w:ascii="Times New Roman" w:hAnsi="Times New Roman" w:eastAsia="方正小标宋_GBK" w:cs="Times New Roman"/>
          <w:sz w:val="52"/>
          <w:szCs w:val="52"/>
        </w:rPr>
        <w:t>整体支出</w:t>
      </w:r>
    </w:p>
    <w:p w14:paraId="31DB0257">
      <w:pPr>
        <w:jc w:val="center"/>
        <w:rPr>
          <w:rFonts w:ascii="Times New Roman" w:hAnsi="Times New Roman" w:eastAsia="方正小标宋_GBK" w:cs="Times New Roman"/>
          <w:sz w:val="52"/>
          <w:szCs w:val="52"/>
        </w:rPr>
      </w:pPr>
      <w:r>
        <w:rPr>
          <w:rFonts w:ascii="Times New Roman" w:hAnsi="Times New Roman" w:eastAsia="方正小标宋_GBK" w:cs="Times New Roman"/>
          <w:sz w:val="52"/>
          <w:szCs w:val="52"/>
        </w:rPr>
        <w:t>绩效自评报告</w:t>
      </w:r>
    </w:p>
    <w:p w14:paraId="2D032AE7">
      <w:pPr>
        <w:jc w:val="center"/>
        <w:rPr>
          <w:rFonts w:ascii="Times New Roman" w:hAnsi="Times New Roman" w:eastAsia="方正小标宋_GBK" w:cs="Times New Roman"/>
          <w:b/>
          <w:sz w:val="52"/>
          <w:szCs w:val="52"/>
        </w:rPr>
      </w:pPr>
    </w:p>
    <w:p w14:paraId="00809030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4D92B42B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6C79BA25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1472CA28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031E71CD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6E47550D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301261A5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3B01B57F">
      <w:pPr>
        <w:spacing w:line="600" w:lineRule="exact"/>
        <w:ind w:firstLine="2400" w:firstLineChars="600"/>
        <w:jc w:val="both"/>
        <w:rPr>
          <w:rFonts w:hint="default" w:ascii="仿宋" w:hAnsi="仿宋" w:eastAsia="仿宋" w:cs="仿宋"/>
          <w:sz w:val="40"/>
          <w:szCs w:val="40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40"/>
          <w:szCs w:val="40"/>
        </w:rPr>
        <w:t>单位名称：</w:t>
      </w:r>
      <w:r>
        <w:rPr>
          <w:rFonts w:hint="eastAsia" w:ascii="仿宋" w:hAnsi="仿宋" w:eastAsia="仿宋" w:cs="仿宋"/>
          <w:sz w:val="40"/>
          <w:szCs w:val="40"/>
          <w:u w:val="single"/>
          <w:lang w:eastAsia="zh-CN"/>
        </w:rPr>
        <w:t>（盖章）</w:t>
      </w:r>
      <w:r>
        <w:rPr>
          <w:rFonts w:hint="eastAsia" w:ascii="仿宋" w:hAnsi="仿宋" w:eastAsia="仿宋" w:cs="仿宋"/>
          <w:sz w:val="40"/>
          <w:szCs w:val="40"/>
          <w:u w:val="single"/>
          <w:lang w:val="en-US" w:eastAsia="zh-CN"/>
        </w:rPr>
        <w:t xml:space="preserve">    </w:t>
      </w:r>
    </w:p>
    <w:p w14:paraId="6CE1C65E">
      <w:pPr>
        <w:spacing w:line="600" w:lineRule="exact"/>
        <w:ind w:firstLine="2800" w:firstLineChars="700"/>
        <w:jc w:val="both"/>
        <w:rPr>
          <w:rFonts w:hint="eastAsia" w:ascii="仿宋" w:hAnsi="仿宋" w:eastAsia="仿宋" w:cs="仿宋"/>
          <w:sz w:val="40"/>
          <w:szCs w:val="40"/>
        </w:rPr>
      </w:pP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2024</w:t>
      </w:r>
      <w:r>
        <w:rPr>
          <w:rFonts w:hint="eastAsia" w:ascii="仿宋" w:hAnsi="仿宋" w:eastAsia="仿宋" w:cs="仿宋"/>
          <w:sz w:val="40"/>
          <w:szCs w:val="40"/>
        </w:rPr>
        <w:t>年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 xml:space="preserve"> 5 </w:t>
      </w:r>
      <w:r>
        <w:rPr>
          <w:rFonts w:hint="eastAsia" w:ascii="仿宋" w:hAnsi="仿宋" w:eastAsia="仿宋" w:cs="仿宋"/>
          <w:sz w:val="40"/>
          <w:szCs w:val="40"/>
        </w:rPr>
        <w:t>月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31</w:t>
      </w:r>
      <w:r>
        <w:rPr>
          <w:rFonts w:hint="eastAsia" w:ascii="仿宋" w:hAnsi="仿宋" w:eastAsia="仿宋" w:cs="仿宋"/>
          <w:sz w:val="40"/>
          <w:szCs w:val="40"/>
        </w:rPr>
        <w:t>日</w:t>
      </w:r>
    </w:p>
    <w:p w14:paraId="3DDF2D2F"/>
    <w:p w14:paraId="7259240C"/>
    <w:p w14:paraId="5B95F799"/>
    <w:p w14:paraId="277C8523"/>
    <w:p w14:paraId="02981267"/>
    <w:p w14:paraId="7CBCECD1"/>
    <w:p w14:paraId="341F1B81"/>
    <w:p w14:paraId="2573286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 w14:paraId="70C860BC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年度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金紫乡人民政府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部门整体支出绩效自评报告</w:t>
      </w:r>
    </w:p>
    <w:p w14:paraId="21606BF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asci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6324C002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一、部门、单位基本情况</w:t>
      </w:r>
    </w:p>
    <w:p w14:paraId="3F334715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（一）机构设置情况</w:t>
      </w:r>
    </w:p>
    <w:p w14:paraId="07699802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960" w:firstLineChars="30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我单位内设</w:t>
      </w:r>
      <w:r>
        <w:rPr>
          <w:rFonts w:hint="eastAsia" w:cs="Times New Roman"/>
          <w:color w:val="000000"/>
          <w:kern w:val="0"/>
          <w:sz w:val="32"/>
          <w:szCs w:val="32"/>
          <w:lang w:val="en-US" w:eastAsia="zh-CN" w:bidi="ar-SA"/>
        </w:rPr>
        <w:t>7个部门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部门分别是：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1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、行政；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2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、财政所；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3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、退役军人事务站；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4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、政务（便民）服务中心；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5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、农业综合服务中心；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6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、社会事务综合服务中心；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7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、综合行政执法大队。</w:t>
      </w:r>
    </w:p>
    <w:p w14:paraId="4AC89460"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人员编制情况</w:t>
      </w:r>
    </w:p>
    <w:p w14:paraId="642BE60E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960" w:firstLineChars="30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cs="Times New Roman"/>
          <w:color w:val="000000"/>
          <w:kern w:val="0"/>
          <w:sz w:val="32"/>
          <w:szCs w:val="32"/>
          <w:lang w:val="en-US" w:eastAsia="zh-CN" w:bidi="ar-SA"/>
        </w:rPr>
        <w:t>2023年年末我们乡实有在编在职人数48人，其中行政27人，财政所1人，退役军人事务站3人，政务（便民）服务中心0人，农业综合服务中心6人，社会事务综合服务中心7人，综合行政执法大队4人。</w:t>
      </w:r>
    </w:p>
    <w:p w14:paraId="3BBA4F23"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主要职能职责</w:t>
      </w:r>
    </w:p>
    <w:p w14:paraId="68BD0EAC">
      <w:pPr>
        <w:numPr>
          <w:ilvl w:val="0"/>
          <w:numId w:val="0"/>
        </w:numPr>
        <w:spacing w:line="570" w:lineRule="atLeast"/>
        <w:ind w:left="0" w:right="0" w:firstLine="640"/>
      </w:pP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1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、党政综合办公室主要职责：协助书记、</w:t>
      </w:r>
      <w:r>
        <w:rPr>
          <w:rFonts w:hint="eastAsia" w:cs="Times New Roman"/>
          <w:color w:val="000000"/>
          <w:kern w:val="0"/>
          <w:sz w:val="32"/>
          <w:szCs w:val="32"/>
          <w:lang w:val="en-US" w:eastAsia="zh-CN" w:bidi="ar-SA"/>
        </w:rPr>
        <w:t>乡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长掌握全面情况，处理日常事务工作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;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负责党政会议决定事项的督办和检查工作；负责综合情况反映和上报工作；负责群众来信来访反映的有关问题督办及答复工作；负责政务信息的收集、报送和文件收发及党委政府文件草拟工作；负责文书档案立卷归档管理工作，人大代表书面意见和政协委员提案的办理；负责党务、群团、工青妇、应急管理、统计、机关日常事务等工作，指导各村（居委会）加强印章、档案、财务等管理工作。</w:t>
      </w:r>
    </w:p>
    <w:p w14:paraId="28C2987A">
      <w:pPr>
        <w:spacing w:line="570" w:lineRule="atLeast"/>
        <w:ind w:left="0" w:right="0" w:firstLine="640"/>
      </w:pP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2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、经济发展和经营管理办公室主要职责：负责农村经济、交通通讯、乡镇企业、民营企业、招商引资、扶贫开发、农村土地承包经营管理、村级账务的指导、减轻农民负担等工作的指导和管理。</w:t>
      </w:r>
    </w:p>
    <w:p w14:paraId="5197FBD8">
      <w:pPr>
        <w:spacing w:line="570" w:lineRule="atLeast"/>
        <w:ind w:left="0" w:right="0" w:firstLine="640"/>
      </w:pP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3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社会管理综合治理办公室主要职责：贯彻上级社会管理综合治理方针、政策，研究制定本乡社会管理综合治理维稳工作年度计划、工作制度和考评管理办法，定期研究通报综治情况，定期开展各类不安全因素和矛盾纠纷的排查化解工作，分析和预测影响社会稳定的新问题、新动向，为乡党委政府决策提供依据。监督检查辖区内非煤矿山、烟花爆竹、危险化学品、工商贸等行业的生产经营单位执行安全生产法律、法规和国家标准、行业标准的情况。</w:t>
      </w:r>
    </w:p>
    <w:p w14:paraId="5223F75E">
      <w:pPr>
        <w:spacing w:line="570" w:lineRule="atLeast"/>
        <w:ind w:left="0" w:right="0" w:firstLine="640"/>
      </w:pP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4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人口与计划生育办公室主要职责：依法履行宣传贯彻国家计划生育的方针、政策，落实人口与计划生育的各项任务等职责。金紫乡设立社会事务办公室，负责民政、新型农村合作医疗、教育科技、食品药品监管，管理乡敬老院等职责。金紫乡设立人民武装部，依法履行国防动员、民兵预备役建设等职能。</w:t>
      </w:r>
    </w:p>
    <w:p w14:paraId="60745E32">
      <w:pPr>
        <w:spacing w:line="570" w:lineRule="atLeast"/>
        <w:ind w:left="0" w:right="0" w:firstLine="640"/>
      </w:pP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5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农业综合服务站主要职责：组织制订、实施农业技术推广计划，农业技术专业培训，做好农业科技成果宣传，农业植物新品种、新技术的引进、试验、示范和推广，实施农作物病虫害的监测、预报、指导防治和处置，对农产品质量进行监管，加大农村能源开发工作；做好各种涉农补贴的发放及涉农保险和理赔工作，协助做好农机产品质量、作业质量、维修质量、服务质量的监管工作；承担本镇防汛抗旱工作，编制上报各种防汛抗旱的具体方案，及时分析掌握和上报旱情、汛情，按照设计方案和上级指令组织实施防洪抢险救灾工作，做好有关防汛、抗旱物资的储备和管理；承办乡党委、政府和上级业务主管部门交办的其他工作。</w:t>
      </w:r>
    </w:p>
    <w:p w14:paraId="00F29604">
      <w:pPr>
        <w:spacing w:line="570" w:lineRule="atLeast"/>
        <w:ind w:left="0" w:right="0" w:firstLine="640"/>
      </w:pP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6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、综合文化站主要职责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: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负责转播中央及上级台（站）的广播电视节目，架设、维护、管理金紫乡的广播电视网络、设备和电视技术指导及培训工作；负责乡村文化宣传和文化事业建设；组织开展群众文化、体育活动，普及科学文化知识，协助管理乡文化市场、音像市场；承办乡党委、政府和上级业务主管部门交办的其他工作。金紫乡设立监察室，与乡纪委合署办公。</w:t>
      </w:r>
    </w:p>
    <w:p w14:paraId="71E54C4E">
      <w:pPr>
        <w:spacing w:line="570" w:lineRule="atLeast"/>
        <w:ind w:left="0" w:right="0" w:firstLine="640"/>
      </w:pP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7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就业和社会保障服务站主要职责：负责劳动力资源登记管理，劳动就业岗位推荐，处理劳动保障监察事项，调解劳动关系争议；负责失业、低保人员调查，办理社会保险事务，参与社会保险扩覆事项；负责本乡农村居民合作医疗保险的管理服务；承办乡党委、政府和上级业务主管部门交办的其他工作。</w:t>
      </w:r>
    </w:p>
    <w:p w14:paraId="3B60D760">
      <w:pPr>
        <w:spacing w:line="570" w:lineRule="atLeast"/>
        <w:ind w:left="0" w:right="0" w:firstLine="640"/>
      </w:pP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8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规划建设环保环卫服务站主要职责：负责落实小城镇建设、新农村建设规划管理工作；负责搞好本乡环境卫生，宣传环境保护基本国策，监督检查区域污染治理工作；负责协助管理农村公路建设和养护工作；承办乡党委、政府和上级业务主管部门交办的其他工作。</w:t>
      </w:r>
    </w:p>
    <w:p w14:paraId="285331E9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9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、财政所主要职责：乡镇财政收支管理，包括乡镇政府预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(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决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)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算编制、预算执行、非税收入征管、农村合作医疗基金征管、农村社会养老保险征管、财政转移支付和专项资金监督和管理、参与乡镇开展农牧民“一卡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-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通”实施工作各项补贴资金发放和监管、乡镇公益服务资金的投入和兑付管理。履行乡镇七站八所财务代管和服务、监督管理、统发工资</w:t>
      </w:r>
      <w:r>
        <w:rPr>
          <w:rFonts w:hint="eastAsia" w:ascii="Times New Roman" w:hAnsi="Times New Roman" w:eastAsia="Times New Roman" w:cs="Times New Roman"/>
          <w:color w:val="000000"/>
          <w:kern w:val="0"/>
          <w:sz w:val="32"/>
          <w:szCs w:val="32"/>
          <w:lang w:val="en-US" w:eastAsia="zh-CN" w:bidi="ar-SA"/>
        </w:rPr>
        <w:t xml:space="preserve"> 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、人事工作、乡镇国有资产管理和乡镇政府债务管理乡镇，村组财务公开、债权债务清理、行政事业性票据管理等各项工作。负责组织和管理乡镇财政收入和支出，编制执行乡镇年度财政预算，监督乡镇单位预算执行，编制财政决算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;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负责村级“一事一议”财政奖补工作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;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负责乡镇非税收入的管理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;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负责强农惠农资金“一卡式”发放、“乡财管”和“村财乡代理”会计核算工作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;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负责乡镇财政专项资金的管理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;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协助乡村两级清收债权、化解债务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;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负责对乡镇国有资产的购置、登记、处置进行管理，确保乡镇国有资产安全和保值增值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;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负责对农民负担进行监督管理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 w:bidi="ar-SA"/>
        </w:rPr>
        <w:t>;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 w:bidi="ar-SA"/>
        </w:rPr>
        <w:t>贯彻党和国家财经方针政策，严格执行财政法规和财经制度，监督乡镇范围内各单位的财务活动。</w:t>
      </w:r>
    </w:p>
    <w:p w14:paraId="115446DB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（四）绩效目标设定情况</w:t>
      </w:r>
    </w:p>
    <w:p w14:paraId="2B4888B8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640" w:firstLineChars="200"/>
        <w:textAlignment w:val="auto"/>
        <w:rPr>
          <w:rFonts w:hint="eastAsia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完成年初财政收入任务，全力保障运转和工资，严格控制“三公”经费等一般性支出，压减工作经费，集中财力保民生及重点项目，扶持产业发展，利用直达资金监控系统，加快资金支付进度，保障支出需要。</w:t>
      </w:r>
    </w:p>
    <w:p w14:paraId="60A7FABD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二、部门整体支出管理及使用情况</w:t>
      </w:r>
    </w:p>
    <w:p w14:paraId="76D141F7">
      <w:pPr>
        <w:pStyle w:val="5"/>
        <w:widowControl/>
        <w:spacing w:line="600" w:lineRule="exact"/>
        <w:ind w:left="640" w:firstLine="0" w:firstLineChars="0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sz w:val="32"/>
          <w:szCs w:val="32"/>
        </w:rPr>
        <w:t>（一）</w:t>
      </w:r>
      <w:r>
        <w:rPr>
          <w:rFonts w:hint="eastAsia" w:eastAsia="楷体_GB2312" w:cs="Times New Roman"/>
          <w:sz w:val="32"/>
          <w:szCs w:val="32"/>
          <w:lang w:eastAsia="zh-CN"/>
        </w:rPr>
        <w:t>部门</w:t>
      </w:r>
      <w:r>
        <w:rPr>
          <w:rFonts w:hint="default" w:ascii="Times New Roman" w:hAnsi="Times New Roman" w:eastAsia="楷体_GB2312" w:cs="Times New Roman"/>
          <w:sz w:val="32"/>
          <w:szCs w:val="32"/>
        </w:rPr>
        <w:t>预决算情况</w:t>
      </w:r>
    </w:p>
    <w:p w14:paraId="3F3964AC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1.部门预算情况</w:t>
      </w:r>
    </w:p>
    <w:p w14:paraId="301ACC60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2023年年初预算安排收入</w:t>
      </w:r>
      <w:r>
        <w:rPr>
          <w:rFonts w:hint="eastAsia" w:cs="Times New Roman"/>
          <w:sz w:val="32"/>
          <w:szCs w:val="32"/>
          <w:lang w:val="en-US" w:eastAsia="zh-CN"/>
        </w:rPr>
        <w:t>679.95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万元，其中一般公共财政拨款</w:t>
      </w:r>
      <w:r>
        <w:rPr>
          <w:rFonts w:hint="eastAsia" w:cs="Times New Roman"/>
          <w:sz w:val="32"/>
          <w:szCs w:val="32"/>
          <w:lang w:val="en-US" w:eastAsia="zh-CN"/>
        </w:rPr>
        <w:t>679.95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万元；2023年年初预算安排支出</w:t>
      </w:r>
      <w:r>
        <w:rPr>
          <w:rFonts w:hint="eastAsia" w:cs="Times New Roman"/>
          <w:sz w:val="32"/>
          <w:szCs w:val="32"/>
          <w:lang w:val="en-US" w:eastAsia="zh-CN"/>
        </w:rPr>
        <w:t>679.95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其中：基本支出</w:t>
      </w:r>
      <w:r>
        <w:rPr>
          <w:rFonts w:hint="eastAsia" w:cs="Times New Roman"/>
          <w:sz w:val="32"/>
          <w:szCs w:val="32"/>
          <w:lang w:val="en-US" w:eastAsia="zh-CN"/>
        </w:rPr>
        <w:t>571.96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万元，项目支出</w:t>
      </w:r>
      <w:r>
        <w:rPr>
          <w:rFonts w:hint="eastAsia" w:cs="Times New Roman"/>
          <w:sz w:val="32"/>
          <w:szCs w:val="32"/>
          <w:lang w:val="en-US" w:eastAsia="zh-CN"/>
        </w:rPr>
        <w:t>107.99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 w14:paraId="7EDF6748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2.部门决算情况（含年中预算追加情况）</w:t>
      </w:r>
    </w:p>
    <w:p w14:paraId="05EABC28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2023年决算总收入</w:t>
      </w:r>
      <w:r>
        <w:rPr>
          <w:rFonts w:hint="eastAsia" w:cs="Times New Roman"/>
          <w:sz w:val="32"/>
          <w:szCs w:val="32"/>
          <w:lang w:val="en-US" w:eastAsia="zh-CN"/>
        </w:rPr>
        <w:t>1320.43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万元，较预算增加</w:t>
      </w:r>
      <w:r>
        <w:rPr>
          <w:rFonts w:hint="eastAsia" w:cs="Times New Roman"/>
          <w:sz w:val="32"/>
          <w:szCs w:val="32"/>
          <w:lang w:val="en-US" w:eastAsia="zh-CN"/>
        </w:rPr>
        <w:t>640.48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万元，总支出</w:t>
      </w:r>
      <w:r>
        <w:rPr>
          <w:rFonts w:hint="eastAsia" w:cs="Times New Roman"/>
          <w:sz w:val="32"/>
          <w:szCs w:val="32"/>
          <w:lang w:val="en-US" w:eastAsia="zh-CN"/>
        </w:rPr>
        <w:t>1320.43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万元，其中：基本支出</w:t>
      </w:r>
      <w:r>
        <w:rPr>
          <w:rFonts w:hint="eastAsia" w:cs="Times New Roman"/>
          <w:sz w:val="32"/>
          <w:szCs w:val="32"/>
          <w:lang w:val="en-US" w:eastAsia="zh-CN"/>
        </w:rPr>
        <w:t>1302.12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万元，占总支出的</w:t>
      </w:r>
      <w:r>
        <w:rPr>
          <w:rFonts w:hint="eastAsia" w:cs="Times New Roman"/>
          <w:sz w:val="32"/>
          <w:szCs w:val="32"/>
          <w:lang w:val="en-US" w:eastAsia="zh-CN"/>
        </w:rPr>
        <w:t>98.61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％；项目支出</w:t>
      </w:r>
      <w:r>
        <w:rPr>
          <w:rFonts w:hint="eastAsia" w:cs="Times New Roman"/>
          <w:sz w:val="32"/>
          <w:szCs w:val="32"/>
          <w:lang w:val="en-US" w:eastAsia="zh-CN"/>
        </w:rPr>
        <w:t>18.31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万元，占总支出的</w:t>
      </w:r>
      <w:r>
        <w:rPr>
          <w:rFonts w:hint="eastAsia" w:cs="Times New Roman"/>
          <w:sz w:val="32"/>
          <w:szCs w:val="32"/>
          <w:lang w:val="en-US" w:eastAsia="zh-CN"/>
        </w:rPr>
        <w:t>1.39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％。差异产生的主要原因是</w:t>
      </w:r>
      <w:r>
        <w:rPr>
          <w:rFonts w:hint="eastAsia" w:cs="Times New Roman"/>
          <w:sz w:val="32"/>
          <w:szCs w:val="32"/>
          <w:lang w:eastAsia="zh-CN"/>
        </w:rPr>
        <w:t>涉农资金和一些专项资金未纳入预算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 w14:paraId="05C413EE">
      <w:pPr>
        <w:spacing w:line="600" w:lineRule="exact"/>
        <w:ind w:firstLine="640" w:firstLineChars="200"/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-SA"/>
        </w:rPr>
        <w:t>（二）部门预算执行情况</w:t>
      </w:r>
    </w:p>
    <w:p w14:paraId="587A2145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经费执行情况</w:t>
      </w:r>
    </w:p>
    <w:p w14:paraId="34A58051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经费预算数</w:t>
      </w:r>
      <w:r>
        <w:rPr>
          <w:rFonts w:hint="eastAsia" w:cs="Times New Roman"/>
          <w:sz w:val="32"/>
          <w:szCs w:val="32"/>
          <w:lang w:val="en-US" w:eastAsia="zh-CN"/>
        </w:rPr>
        <w:t>8.6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万元，其中：因公出国（境）费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万元，公务用车购置及运行维护费</w:t>
      </w:r>
      <w:r>
        <w:rPr>
          <w:rFonts w:hint="eastAsia" w:cs="Times New Roman"/>
          <w:sz w:val="32"/>
          <w:szCs w:val="32"/>
          <w:lang w:val="en-US" w:eastAsia="zh-CN"/>
        </w:rPr>
        <w:t>4.6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万元，公务接待费</w:t>
      </w:r>
      <w:r>
        <w:rPr>
          <w:rFonts w:hint="eastAsia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经费决算数元，其中：因公出国（境）费*万元，公务用车运行维护费*万元，公务接待费*万元。</w:t>
      </w:r>
    </w:p>
    <w:p w14:paraId="1F45C967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.政府采购执行情况</w:t>
      </w:r>
    </w:p>
    <w:p w14:paraId="4E6EA988">
      <w:pPr>
        <w:spacing w:line="600" w:lineRule="exact"/>
        <w:ind w:firstLine="640" w:firstLineChars="200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2023年度政府采购支出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万元，其中：货物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元，工程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万元，服务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 w14:paraId="69709931">
      <w:pPr>
        <w:pStyle w:val="2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政府性基金预算支出情况</w:t>
      </w:r>
    </w:p>
    <w:p w14:paraId="7754E950"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 w:bidi="ar-SA"/>
        </w:rPr>
        <w:t>无政府性基金预算支出。</w:t>
      </w:r>
    </w:p>
    <w:p w14:paraId="5FE35A10">
      <w:pPr>
        <w:pStyle w:val="2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国有资本经营预算支出情况</w:t>
      </w:r>
    </w:p>
    <w:p w14:paraId="396B0CD8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 w:firstLine="640" w:firstLineChars="20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 w:bidi="ar-SA"/>
        </w:rPr>
        <w:t>无国有资本经营预算支出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。</w:t>
      </w:r>
    </w:p>
    <w:p w14:paraId="0EC9B156">
      <w:pPr>
        <w:pStyle w:val="2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社会保险基金预算支出情况</w:t>
      </w:r>
    </w:p>
    <w:p w14:paraId="2EE32282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640" w:firstLineChars="200"/>
        <w:textAlignment w:val="auto"/>
        <w:rPr>
          <w:rFonts w:hint="eastAsia" w:cs="Times New Roman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 w:bidi="ar-SA"/>
        </w:rPr>
        <w:t>无社会保险基金预算支出。</w:t>
      </w:r>
    </w:p>
    <w:p w14:paraId="6EEDED18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六、部门整体支出绩效情况</w:t>
      </w:r>
    </w:p>
    <w:p w14:paraId="3C8DAC6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（一）综合评价结论。</w:t>
      </w:r>
    </w:p>
    <w:p w14:paraId="6AD5BBB0">
      <w:pPr>
        <w:spacing w:line="60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我乡严格按照省、市县相关考核要求，如期按时按质量完成各项工作指标。重点工作办结率100%。本年度绩效自评得分9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分，主要扣分原因为经济指标时效未达标。</w:t>
      </w:r>
    </w:p>
    <w:p w14:paraId="730DC401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</w:p>
    <w:p w14:paraId="642F53FD">
      <w:pPr>
        <w:pStyle w:val="2"/>
        <w:keepNext w:val="0"/>
        <w:keepLines w:val="0"/>
        <w:pageBreakBefore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评价指标分析（或综合评价情况）。</w:t>
      </w:r>
    </w:p>
    <w:p w14:paraId="28F90E93"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2023年，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在县委、县政府的正确领导下，我乡坚持以习近平新时代中国特色社会主义思想为指导，深入贯彻落实党的二十大精神，坚持稳中求进工作总基调，苦干实干、奋勇争先，统筹推进党的建设、乡村振兴、社会治理等各项工作，全力推动各项事业发展提质增效。</w:t>
      </w:r>
    </w:p>
    <w:p w14:paraId="25DC06DC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七、存在的问题及原因分析</w:t>
      </w:r>
    </w:p>
    <w:p w14:paraId="0669D9E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640" w:firstLineChars="20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</w:pPr>
      <w:bookmarkStart w:id="0" w:name="_GoBack"/>
      <w:bookmarkEnd w:id="0"/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由于公共财政保障范围不断扩大，需要保障、配套或兜底的事项越来越多，保工资、保运转、保民生、促发展的支出压力明显加大。在财政收入来源减少、支出明显加大的情况下，财政收支矛盾十分突出，收支平衡难度进一步加大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。</w:t>
      </w:r>
    </w:p>
    <w:p w14:paraId="12999152">
      <w:pPr>
        <w:pStyle w:val="2"/>
        <w:keepNext w:val="0"/>
        <w:keepLines w:val="0"/>
        <w:pageBreakBefore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下一步改进措施</w:t>
      </w:r>
    </w:p>
    <w:p w14:paraId="7A8B2791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无</w:t>
      </w:r>
    </w:p>
    <w:p w14:paraId="062CA2C5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九、其他需要说明的情况</w:t>
      </w:r>
    </w:p>
    <w:p w14:paraId="4315715C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textAlignment w:val="auto"/>
        <w:rPr>
          <w:rFonts w:hint="eastAsia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cs="Times New Roman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无</w:t>
      </w:r>
    </w:p>
    <w:p w14:paraId="6A9EED1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报告应包括以下附件：</w:t>
      </w:r>
    </w:p>
    <w:p w14:paraId="37343129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1.</w:t>
      </w: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部门整体支出绩效评价基础数据表</w:t>
      </w: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</w:p>
    <w:p w14:paraId="16385A6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2.</w:t>
      </w: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部门整体支出绩效自评表</w:t>
      </w:r>
    </w:p>
    <w:p w14:paraId="0523940B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3、项目支出绩效自评表（每个项目支出一张表！）</w:t>
      </w:r>
    </w:p>
    <w:p w14:paraId="5985532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 w14:paraId="1DEC5B2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5A95750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3B9FA1D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F2D57F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586E0E9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3FB7E6E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178AA26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0C1A942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3B47B08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0368C96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7C311C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6E334E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785A75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54EFBC1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7D0DF378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left="0" w:right="0" w:firstLine="0"/>
        <w:jc w:val="both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 w14:paraId="0A5EFEBD">
      <w:pPr>
        <w:jc w:val="left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</w:p>
    <w:sectPr>
      <w:pgSz w:w="11906" w:h="16838"/>
      <w:pgMar w:top="1440" w:right="1134" w:bottom="1440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5452EC"/>
    <w:multiLevelType w:val="singleLevel"/>
    <w:tmpl w:val="8E5452EC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A4BDBA90"/>
    <w:multiLevelType w:val="singleLevel"/>
    <w:tmpl w:val="A4BDBA90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21B5C5CB"/>
    <w:multiLevelType w:val="singleLevel"/>
    <w:tmpl w:val="21B5C5C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312060B7"/>
    <w:multiLevelType w:val="singleLevel"/>
    <w:tmpl w:val="312060B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4ZGVhZjJhNTNlYTkzOGMwMTFiMTRiZGVkNWE5YTcifQ=="/>
    <w:docVar w:name="KSO_WPS_MARK_KEY" w:val="2cad2da4-8c74-4208-b950-09c4ddb6f378"/>
  </w:docVars>
  <w:rsids>
    <w:rsidRoot w:val="00000000"/>
    <w:rsid w:val="082C3238"/>
    <w:rsid w:val="1EA33F65"/>
    <w:rsid w:val="269E5DD8"/>
    <w:rsid w:val="29E37561"/>
    <w:rsid w:val="2A3545CF"/>
    <w:rsid w:val="3BE40961"/>
    <w:rsid w:val="3F4E3529"/>
    <w:rsid w:val="4B72396B"/>
    <w:rsid w:val="510460CD"/>
    <w:rsid w:val="55EB687A"/>
    <w:rsid w:val="5AF73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28"/>
      <w:szCs w:val="28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List Paragraph"/>
    <w:basedOn w:val="1"/>
    <w:qFormat/>
    <w:uiPriority w:val="99"/>
    <w:pPr>
      <w:ind w:firstLine="420" w:firstLineChars="200"/>
    </w:pPr>
    <w:rPr>
      <w:rFonts w:ascii="Times New Roman" w:hAnsi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2816</Words>
  <Characters>2923</Characters>
  <Lines>0</Lines>
  <Paragraphs>0</Paragraphs>
  <TotalTime>11</TotalTime>
  <ScaleCrop>false</ScaleCrop>
  <LinksUpToDate>false</LinksUpToDate>
  <CharactersWithSpaces>2932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2021-09-17T07:11:00Z</dcterms:created>
  <dc:creator>Administrator</dc:creator>
  <cp:lastModifiedBy>顾清城</cp:lastModifiedBy>
  <dcterms:modified xsi:type="dcterms:W3CDTF">2024-11-07T03:28:50Z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604D7CBDBEC14166926D66C1BD449F2E_13</vt:lpwstr>
  </property>
</Properties>
</file>