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C9E44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pPr>
      <w:r>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t>附件1</w:t>
      </w:r>
    </w:p>
    <w:p w14:paraId="714762A6">
      <w:pPr>
        <w:spacing w:line="600" w:lineRule="exact"/>
        <w:rPr>
          <w:rFonts w:ascii="Times New Roman" w:hAnsi="Times New Roman" w:eastAsia="黑体" w:cs="Times New Roman"/>
          <w:sz w:val="32"/>
          <w:szCs w:val="32"/>
        </w:rPr>
      </w:pPr>
    </w:p>
    <w:p w14:paraId="793E02D6">
      <w:pPr>
        <w:spacing w:line="600" w:lineRule="exact"/>
        <w:rPr>
          <w:rFonts w:ascii="Times New Roman" w:hAnsi="Times New Roman" w:eastAsia="黑体" w:cs="Times New Roman"/>
          <w:sz w:val="32"/>
          <w:szCs w:val="32"/>
        </w:rPr>
      </w:pPr>
    </w:p>
    <w:p w14:paraId="2025672B">
      <w:pPr>
        <w:jc w:val="center"/>
        <w:rPr>
          <w:rFonts w:ascii="Times New Roman" w:hAnsi="Times New Roman" w:eastAsia="方正小标宋_GBK" w:cs="Times New Roman"/>
          <w:sz w:val="52"/>
          <w:szCs w:val="52"/>
        </w:rPr>
      </w:pPr>
      <w:r>
        <w:rPr>
          <w:rFonts w:ascii="Times New Roman" w:hAnsi="Times New Roman" w:eastAsia="方正小标宋_GBK" w:cs="Times New Roman"/>
          <w:sz w:val="52"/>
          <w:szCs w:val="52"/>
        </w:rPr>
        <w:t>202</w:t>
      </w:r>
      <w:r>
        <w:rPr>
          <w:rFonts w:hint="eastAsia" w:eastAsia="方正小标宋_GBK" w:cs="Times New Roman"/>
          <w:sz w:val="52"/>
          <w:szCs w:val="52"/>
          <w:lang w:val="en-US" w:eastAsia="zh-CN"/>
        </w:rPr>
        <w:t>3</w:t>
      </w:r>
      <w:r>
        <w:rPr>
          <w:rFonts w:ascii="Times New Roman" w:hAnsi="Times New Roman" w:eastAsia="方正小标宋_GBK" w:cs="Times New Roman"/>
          <w:sz w:val="52"/>
          <w:szCs w:val="52"/>
        </w:rPr>
        <w:t>年度</w:t>
      </w:r>
      <w:r>
        <w:rPr>
          <w:rFonts w:hint="eastAsia" w:ascii="Times New Roman" w:hAnsi="Times New Roman" w:eastAsia="方正小标宋_GBK" w:cs="Times New Roman"/>
          <w:sz w:val="52"/>
          <w:szCs w:val="52"/>
          <w:lang w:eastAsia="zh-CN"/>
        </w:rPr>
        <w:t>农水局</w:t>
      </w:r>
      <w:r>
        <w:rPr>
          <w:rFonts w:ascii="Times New Roman" w:hAnsi="Times New Roman" w:eastAsia="方正小标宋_GBK" w:cs="Times New Roman"/>
          <w:sz w:val="52"/>
          <w:szCs w:val="52"/>
        </w:rPr>
        <w:t>整体支出</w:t>
      </w:r>
    </w:p>
    <w:p w14:paraId="61A6D42A">
      <w:pPr>
        <w:jc w:val="center"/>
        <w:rPr>
          <w:rFonts w:ascii="Times New Roman" w:hAnsi="Times New Roman" w:eastAsia="方正小标宋_GBK" w:cs="Times New Roman"/>
          <w:sz w:val="52"/>
          <w:szCs w:val="52"/>
        </w:rPr>
      </w:pPr>
      <w:r>
        <w:rPr>
          <w:rFonts w:ascii="Times New Roman" w:hAnsi="Times New Roman" w:eastAsia="方正小标宋_GBK" w:cs="Times New Roman"/>
          <w:sz w:val="52"/>
          <w:szCs w:val="52"/>
        </w:rPr>
        <w:t>绩效自评报告</w:t>
      </w:r>
    </w:p>
    <w:p w14:paraId="16D5E8C7">
      <w:pPr>
        <w:jc w:val="center"/>
        <w:rPr>
          <w:rFonts w:ascii="Times New Roman" w:hAnsi="Times New Roman" w:eastAsia="方正小标宋_GBK" w:cs="Times New Roman"/>
          <w:b/>
          <w:sz w:val="52"/>
          <w:szCs w:val="52"/>
        </w:rPr>
      </w:pPr>
    </w:p>
    <w:p w14:paraId="46FB01D4">
      <w:pPr>
        <w:jc w:val="center"/>
        <w:rPr>
          <w:rFonts w:ascii="Times New Roman" w:hAnsi="Times New Roman" w:eastAsia="黑体" w:cs="Times New Roman"/>
          <w:sz w:val="32"/>
          <w:szCs w:val="32"/>
        </w:rPr>
      </w:pPr>
    </w:p>
    <w:p w14:paraId="2F63B0C6">
      <w:pPr>
        <w:jc w:val="center"/>
        <w:rPr>
          <w:rFonts w:ascii="Times New Roman" w:hAnsi="Times New Roman" w:eastAsia="黑体" w:cs="Times New Roman"/>
          <w:sz w:val="32"/>
          <w:szCs w:val="32"/>
        </w:rPr>
      </w:pPr>
    </w:p>
    <w:p w14:paraId="61162AC9">
      <w:pPr>
        <w:jc w:val="center"/>
        <w:rPr>
          <w:rFonts w:ascii="Times New Roman" w:hAnsi="Times New Roman" w:eastAsia="黑体" w:cs="Times New Roman"/>
          <w:sz w:val="32"/>
          <w:szCs w:val="32"/>
        </w:rPr>
      </w:pPr>
    </w:p>
    <w:p w14:paraId="4F82CA89">
      <w:pPr>
        <w:jc w:val="center"/>
        <w:rPr>
          <w:rFonts w:ascii="Times New Roman" w:hAnsi="Times New Roman" w:eastAsia="黑体" w:cs="Times New Roman"/>
          <w:sz w:val="32"/>
          <w:szCs w:val="32"/>
        </w:rPr>
      </w:pPr>
    </w:p>
    <w:p w14:paraId="386F77A3">
      <w:pPr>
        <w:jc w:val="center"/>
        <w:rPr>
          <w:rFonts w:ascii="Times New Roman" w:hAnsi="Times New Roman" w:eastAsia="黑体" w:cs="Times New Roman"/>
          <w:sz w:val="32"/>
          <w:szCs w:val="32"/>
        </w:rPr>
      </w:pPr>
    </w:p>
    <w:p w14:paraId="6D5F11A6">
      <w:pPr>
        <w:jc w:val="center"/>
        <w:rPr>
          <w:rFonts w:ascii="Times New Roman" w:hAnsi="Times New Roman" w:eastAsia="黑体" w:cs="Times New Roman"/>
          <w:sz w:val="32"/>
          <w:szCs w:val="32"/>
        </w:rPr>
      </w:pPr>
    </w:p>
    <w:p w14:paraId="01EDA7CD">
      <w:pPr>
        <w:jc w:val="center"/>
        <w:rPr>
          <w:rFonts w:ascii="Times New Roman" w:hAnsi="Times New Roman" w:eastAsia="黑体" w:cs="Times New Roman"/>
          <w:sz w:val="32"/>
          <w:szCs w:val="32"/>
        </w:rPr>
      </w:pPr>
    </w:p>
    <w:p w14:paraId="6AA26D38">
      <w:pPr>
        <w:spacing w:line="600" w:lineRule="exact"/>
        <w:ind w:firstLine="2400" w:firstLineChars="600"/>
        <w:jc w:val="both"/>
        <w:rPr>
          <w:rFonts w:hint="default" w:ascii="仿宋" w:hAnsi="仿宋" w:eastAsia="仿宋" w:cs="仿宋"/>
          <w:sz w:val="40"/>
          <w:szCs w:val="40"/>
          <w:u w:val="single"/>
          <w:lang w:val="en-US" w:eastAsia="zh-CN"/>
        </w:rPr>
      </w:pPr>
      <w:r>
        <w:rPr>
          <w:rFonts w:hint="eastAsia" w:ascii="仿宋" w:hAnsi="仿宋" w:eastAsia="仿宋" w:cs="仿宋"/>
          <w:sz w:val="40"/>
          <w:szCs w:val="40"/>
        </w:rPr>
        <w:t>单位名称：</w:t>
      </w:r>
      <w:r>
        <w:rPr>
          <w:rFonts w:hint="eastAsia" w:ascii="仿宋" w:hAnsi="仿宋" w:eastAsia="仿宋" w:cs="仿宋"/>
          <w:sz w:val="40"/>
          <w:szCs w:val="40"/>
          <w:u w:val="single"/>
          <w:lang w:eastAsia="zh-CN"/>
        </w:rPr>
        <w:t>（盖章）</w:t>
      </w:r>
      <w:r>
        <w:rPr>
          <w:rFonts w:hint="eastAsia" w:ascii="仿宋" w:hAnsi="仿宋" w:eastAsia="仿宋" w:cs="仿宋"/>
          <w:sz w:val="40"/>
          <w:szCs w:val="40"/>
          <w:u w:val="single"/>
          <w:lang w:val="en-US" w:eastAsia="zh-CN"/>
        </w:rPr>
        <w:t xml:space="preserve">    </w:t>
      </w:r>
    </w:p>
    <w:p w14:paraId="253DA872">
      <w:pPr>
        <w:spacing w:line="600" w:lineRule="exact"/>
        <w:ind w:firstLine="2800" w:firstLineChars="700"/>
        <w:jc w:val="both"/>
        <w:rPr>
          <w:rFonts w:hint="eastAsia" w:ascii="仿宋" w:hAnsi="仿宋" w:eastAsia="仿宋" w:cs="仿宋"/>
          <w:sz w:val="40"/>
          <w:szCs w:val="40"/>
        </w:rPr>
      </w:pPr>
      <w:r>
        <w:rPr>
          <w:rFonts w:hint="eastAsia" w:ascii="仿宋" w:hAnsi="仿宋" w:eastAsia="仿宋" w:cs="仿宋"/>
          <w:sz w:val="40"/>
          <w:szCs w:val="40"/>
          <w:lang w:val="en-US" w:eastAsia="zh-CN"/>
        </w:rPr>
        <w:t>2024</w:t>
      </w:r>
      <w:r>
        <w:rPr>
          <w:rFonts w:hint="eastAsia" w:ascii="仿宋" w:hAnsi="仿宋" w:eastAsia="仿宋" w:cs="仿宋"/>
          <w:sz w:val="40"/>
          <w:szCs w:val="40"/>
        </w:rPr>
        <w:t>年</w:t>
      </w:r>
      <w:r>
        <w:rPr>
          <w:rFonts w:hint="eastAsia" w:ascii="仿宋" w:hAnsi="仿宋" w:eastAsia="仿宋" w:cs="仿宋"/>
          <w:sz w:val="40"/>
          <w:szCs w:val="40"/>
          <w:lang w:val="en-US" w:eastAsia="zh-CN"/>
        </w:rPr>
        <w:t xml:space="preserve"> 5 </w:t>
      </w:r>
      <w:r>
        <w:rPr>
          <w:rFonts w:hint="eastAsia" w:ascii="仿宋" w:hAnsi="仿宋" w:eastAsia="仿宋" w:cs="仿宋"/>
          <w:sz w:val="40"/>
          <w:szCs w:val="40"/>
        </w:rPr>
        <w:t>月</w:t>
      </w:r>
      <w:r>
        <w:rPr>
          <w:rFonts w:hint="eastAsia" w:ascii="仿宋" w:hAnsi="仿宋" w:eastAsia="仿宋" w:cs="仿宋"/>
          <w:sz w:val="40"/>
          <w:szCs w:val="40"/>
          <w:lang w:val="en-US" w:eastAsia="zh-CN"/>
        </w:rPr>
        <w:t>31</w:t>
      </w:r>
      <w:r>
        <w:rPr>
          <w:rFonts w:hint="eastAsia" w:ascii="仿宋" w:hAnsi="仿宋" w:eastAsia="仿宋" w:cs="仿宋"/>
          <w:sz w:val="40"/>
          <w:szCs w:val="40"/>
        </w:rPr>
        <w:t>日</w:t>
      </w:r>
    </w:p>
    <w:p w14:paraId="021A6991"/>
    <w:p w14:paraId="762C2945"/>
    <w:p w14:paraId="53ECF561"/>
    <w:p w14:paraId="6C44422C"/>
    <w:p w14:paraId="677C2D9B"/>
    <w:p w14:paraId="5485C960"/>
    <w:p w14:paraId="7865BC1A"/>
    <w:p w14:paraId="5DD85AE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方正小标宋_GBK" w:hAnsi="方正小标宋_GBK" w:eastAsia="方正小标宋_GBK" w:cs="方正小标宋_GBK"/>
          <w:i w:val="0"/>
          <w:iCs w:val="0"/>
          <w:caps w:val="0"/>
          <w:color w:val="000000"/>
          <w:spacing w:val="0"/>
          <w:sz w:val="32"/>
          <w:szCs w:val="32"/>
          <w:shd w:val="clear" w:fill="FFFFFF"/>
          <w:lang w:val="en-US" w:eastAsia="zh-CN"/>
        </w:rPr>
      </w:pPr>
    </w:p>
    <w:p w14:paraId="71DA77D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hint="eastAsia" w:ascii="方正小标宋_GBK" w:hAnsi="方正小标宋_GBK" w:eastAsia="方正小标宋_GBK" w:cs="方正小标宋_GBK"/>
          <w:i w:val="0"/>
          <w:iCs w:val="0"/>
          <w:caps w:val="0"/>
          <w:color w:val="000000"/>
          <w:spacing w:val="0"/>
          <w:sz w:val="44"/>
          <w:szCs w:val="44"/>
          <w:shd w:val="clear" w:fill="FFFFFF"/>
        </w:rPr>
      </w:pPr>
      <w:r>
        <w:rPr>
          <w:rFonts w:hint="eastAsia" w:ascii="方正小标宋_GBK" w:hAnsi="方正小标宋_GBK" w:eastAsia="方正小标宋_GBK" w:cs="方正小标宋_GBK"/>
          <w:i w:val="0"/>
          <w:iCs w:val="0"/>
          <w:caps w:val="0"/>
          <w:color w:val="000000"/>
          <w:spacing w:val="0"/>
          <w:sz w:val="44"/>
          <w:szCs w:val="44"/>
          <w:shd w:val="clear" w:fill="FFFFFF"/>
        </w:rPr>
        <w:t>202</w:t>
      </w:r>
      <w:r>
        <w:rPr>
          <w:rFonts w:hint="eastAsia" w:ascii="方正小标宋_GBK" w:hAnsi="方正小标宋_GBK" w:eastAsia="方正小标宋_GBK" w:cs="方正小标宋_GBK"/>
          <w:i w:val="0"/>
          <w:iCs w:val="0"/>
          <w:caps w:val="0"/>
          <w:color w:val="000000"/>
          <w:spacing w:val="0"/>
          <w:sz w:val="44"/>
          <w:szCs w:val="44"/>
          <w:shd w:val="clear" w:fill="FFFFFF"/>
          <w:lang w:val="en-US" w:eastAsia="zh-CN"/>
        </w:rPr>
        <w:t>3</w:t>
      </w:r>
      <w:r>
        <w:rPr>
          <w:rFonts w:hint="eastAsia" w:ascii="方正小标宋_GBK" w:hAnsi="方正小标宋_GBK" w:eastAsia="方正小标宋_GBK" w:cs="方正小标宋_GBK"/>
          <w:i w:val="0"/>
          <w:iCs w:val="0"/>
          <w:caps w:val="0"/>
          <w:color w:val="000000"/>
          <w:spacing w:val="0"/>
          <w:sz w:val="44"/>
          <w:szCs w:val="44"/>
          <w:shd w:val="clear" w:fill="FFFFFF"/>
        </w:rPr>
        <w:t>年度</w:t>
      </w:r>
      <w:r>
        <w:rPr>
          <w:rFonts w:hint="eastAsia" w:ascii="Times New Roman" w:hAnsi="Times New Roman" w:eastAsia="方正小标宋_GBK" w:cs="Times New Roman"/>
          <w:sz w:val="44"/>
          <w:szCs w:val="44"/>
          <w:lang w:eastAsia="zh-CN"/>
        </w:rPr>
        <w:t>农水局</w:t>
      </w:r>
      <w:r>
        <w:rPr>
          <w:rFonts w:hint="eastAsia" w:ascii="方正小标宋_GBK" w:hAnsi="方正小标宋_GBK" w:eastAsia="方正小标宋_GBK" w:cs="方正小标宋_GBK"/>
          <w:i w:val="0"/>
          <w:iCs w:val="0"/>
          <w:caps w:val="0"/>
          <w:color w:val="000000"/>
          <w:spacing w:val="0"/>
          <w:sz w:val="44"/>
          <w:szCs w:val="44"/>
          <w:shd w:val="clear" w:fill="FFFFFF"/>
        </w:rPr>
        <w:t>整体支出</w:t>
      </w:r>
    </w:p>
    <w:p w14:paraId="02A7B79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ascii="方正小标宋_GBK" w:hAnsi="方正小标宋_GBK" w:eastAsia="方正小标宋_GBK" w:cs="方正小标宋_GBK"/>
          <w:i w:val="0"/>
          <w:iCs w:val="0"/>
          <w:caps w:val="0"/>
          <w:color w:val="000000"/>
          <w:spacing w:val="0"/>
          <w:sz w:val="44"/>
          <w:szCs w:val="44"/>
        </w:rPr>
      </w:pPr>
      <w:r>
        <w:rPr>
          <w:rFonts w:hint="eastAsia" w:ascii="方正小标宋_GBK" w:hAnsi="方正小标宋_GBK" w:eastAsia="方正小标宋_GBK" w:cs="方正小标宋_GBK"/>
          <w:i w:val="0"/>
          <w:iCs w:val="0"/>
          <w:caps w:val="0"/>
          <w:color w:val="000000"/>
          <w:spacing w:val="0"/>
          <w:sz w:val="44"/>
          <w:szCs w:val="44"/>
          <w:shd w:val="clear" w:fill="FFFFFF"/>
        </w:rPr>
        <w:t>绩效自评报告</w:t>
      </w:r>
    </w:p>
    <w:p w14:paraId="0C82E4E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jc w:val="center"/>
        <w:textAlignment w:val="auto"/>
        <w:rPr>
          <w:rFonts w:ascii="仿宋_GB2312" w:eastAsia="仿宋_GB2312" w:cs="仿宋_GB2312"/>
          <w:i w:val="0"/>
          <w:iCs w:val="0"/>
          <w:caps w:val="0"/>
          <w:color w:val="000000"/>
          <w:spacing w:val="0"/>
          <w:sz w:val="24"/>
          <w:szCs w:val="24"/>
        </w:rPr>
      </w:pPr>
    </w:p>
    <w:p w14:paraId="5C3DB41E">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一、部门</w:t>
      </w:r>
      <w:r>
        <w:rPr>
          <w:rFonts w:hint="eastAsia" w:eastAsia="黑体" w:cs="Times New Roman"/>
          <w:sz w:val="32"/>
          <w:szCs w:val="32"/>
          <w:lang w:eastAsia="zh-CN"/>
        </w:rPr>
        <w:t>（</w:t>
      </w:r>
      <w:r>
        <w:rPr>
          <w:rFonts w:ascii="Times New Roman" w:hAnsi="Times New Roman" w:eastAsia="黑体" w:cs="Times New Roman"/>
          <w:sz w:val="32"/>
          <w:szCs w:val="32"/>
        </w:rPr>
        <w:t>单位）基本情况</w:t>
      </w:r>
    </w:p>
    <w:p w14:paraId="6AE7A4B7">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b w:val="0"/>
          <w:bCs/>
          <w:sz w:val="32"/>
          <w:szCs w:val="32"/>
        </w:rPr>
      </w:pPr>
      <w:r>
        <w:rPr>
          <w:rFonts w:hint="default" w:ascii="Times New Roman" w:hAnsi="Times New Roman" w:eastAsia="楷体_GB2312" w:cs="Times New Roman"/>
          <w:b w:val="0"/>
          <w:bCs/>
          <w:sz w:val="32"/>
          <w:szCs w:val="32"/>
        </w:rPr>
        <w:t>（一）机构、人员构成</w:t>
      </w:r>
    </w:p>
    <w:p w14:paraId="473A26CA">
      <w:pPr>
        <w:adjustRightInd w:val="0"/>
        <w:snapToGrid w:val="0"/>
        <w:spacing w:line="600" w:lineRule="exact"/>
        <w:ind w:firstLine="900" w:firstLineChars="300"/>
        <w:rPr>
          <w:rFonts w:hint="eastAsia" w:ascii="宋体" w:hAnsi="宋体" w:eastAsia="宋体" w:cs="宋体"/>
          <w:sz w:val="30"/>
          <w:szCs w:val="30"/>
          <w:lang w:val="en-US" w:eastAsia="zh-CN"/>
        </w:rPr>
      </w:pPr>
      <w:r>
        <w:rPr>
          <w:rFonts w:hint="eastAsia" w:ascii="宋体" w:hAnsi="宋体" w:eastAsia="宋体" w:cs="宋体"/>
          <w:sz w:val="30"/>
          <w:szCs w:val="30"/>
          <w:lang w:val="en-US" w:eastAsia="zh-CN"/>
        </w:rPr>
        <w:t>1、农业农村水利局编制人数103人（行政编制20人，事业编制83人），实有人数96人，其中行政人员31人，事业人员45人，农业科学研究所人数5人，原种场11人，另有乡镇农技员7人（差额拨款）。</w:t>
      </w:r>
    </w:p>
    <w:p w14:paraId="029F3C70">
      <w:pPr>
        <w:pStyle w:val="2"/>
        <w:ind w:firstLine="900" w:firstLineChars="300"/>
      </w:pPr>
      <w:r>
        <w:rPr>
          <w:rFonts w:hint="eastAsia" w:eastAsia="宋体" w:cs="宋体"/>
          <w:kern w:val="2"/>
          <w:sz w:val="30"/>
          <w:szCs w:val="30"/>
          <w:lang w:val="en-US" w:eastAsia="zh-CN" w:bidi="ar-SA"/>
        </w:rPr>
        <w:t>2</w:t>
      </w:r>
      <w:r>
        <w:rPr>
          <w:rFonts w:hint="eastAsia" w:ascii="宋体" w:hAnsi="宋体" w:eastAsia="宋体" w:cs="宋体"/>
          <w:kern w:val="2"/>
          <w:sz w:val="30"/>
          <w:szCs w:val="30"/>
          <w:lang w:val="en-US" w:eastAsia="zh-CN" w:bidi="ar-SA"/>
        </w:rPr>
        <w:t>、机构设置  根据编委核定，我局内设股室19个，所属二级单位2个。内设股室分别是办公室、政工股、法规股、计划财务股、农村社会事业促进股、乡村产业发展股、科技教育、市场信息化和对外交流合作股、农产品质量安全监管股、种植业和种业管理股、农业资源保护与利用股、农田建设与农垦股、水资源管理股、农村水利水电工程建设监督管理和安全生产股、水土保持和水旱灾害防御股、河湖管理和河长制工作股、农村合作经济指导股、农机科教和农业机械化管理股、畜牧兽医和渔业渔政管理股、水库移民股。</w:t>
      </w:r>
    </w:p>
    <w:p w14:paraId="5D2E1F7F">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楷体_GB2312" w:cs="Times New Roman"/>
          <w:b w:val="0"/>
          <w:bCs/>
          <w:sz w:val="32"/>
          <w:szCs w:val="32"/>
        </w:rPr>
      </w:pPr>
      <w:r>
        <w:rPr>
          <w:rFonts w:hint="eastAsia" w:ascii="Times New Roman" w:hAnsi="Times New Roman" w:eastAsia="楷体_GB2312" w:cs="Times New Roman"/>
          <w:b w:val="0"/>
          <w:bCs/>
          <w:sz w:val="32"/>
          <w:szCs w:val="32"/>
          <w:lang w:eastAsia="zh-CN"/>
        </w:rPr>
        <w:t>（二）</w:t>
      </w:r>
      <w:r>
        <w:rPr>
          <w:rFonts w:hint="default" w:ascii="Times New Roman" w:hAnsi="Times New Roman" w:eastAsia="楷体_GB2312" w:cs="Times New Roman"/>
          <w:b w:val="0"/>
          <w:bCs/>
          <w:sz w:val="32"/>
          <w:szCs w:val="32"/>
        </w:rPr>
        <w:t>单位主要职责</w:t>
      </w:r>
    </w:p>
    <w:p w14:paraId="110EA834">
      <w:pPr>
        <w:keepNext w:val="0"/>
        <w:keepLines w:val="0"/>
        <w:pageBreakBefore w:val="0"/>
        <w:kinsoku/>
        <w:wordWrap/>
        <w:overflowPunct/>
        <w:topLinePunct w:val="0"/>
        <w:autoSpaceDE w:val="0"/>
        <w:autoSpaceDN w:val="0"/>
        <w:bidi w:val="0"/>
        <w:adjustRightInd w:val="0"/>
        <w:spacing w:beforeAutospacing="0" w:afterAutospacing="0" w:line="520" w:lineRule="exact"/>
        <w:ind w:firstLine="600" w:firstLineChars="200"/>
        <w:textAlignment w:val="auto"/>
        <w:rPr>
          <w:rFonts w:hint="eastAsia" w:ascii="宋体" w:hAnsi="宋体" w:eastAsia="宋体" w:cs="宋体"/>
          <w:sz w:val="30"/>
          <w:szCs w:val="30"/>
          <w:lang w:val="en-US" w:eastAsia="zh-CN"/>
        </w:rPr>
      </w:pPr>
      <w:r>
        <w:rPr>
          <w:rFonts w:hint="eastAsia" w:ascii="宋体" w:hAnsi="宋体" w:eastAsia="宋体" w:cs="宋体"/>
          <w:sz w:val="30"/>
          <w:szCs w:val="30"/>
          <w:lang w:val="en-US" w:eastAsia="zh-CN"/>
        </w:rPr>
        <w:t>1、统筹研究和组织全县实施“三农”工作的中长期规划、重大政策。组织起草农业农村相关规范性文件，指导农业综合执法。参与涉农的财税、价格、收储、金融保险、进出口等政策制定。</w:t>
      </w:r>
    </w:p>
    <w:p w14:paraId="0B843FCD">
      <w:pPr>
        <w:keepNext w:val="0"/>
        <w:keepLines w:val="0"/>
        <w:pageBreakBefore w:val="0"/>
        <w:kinsoku/>
        <w:wordWrap/>
        <w:overflowPunct/>
        <w:topLinePunct w:val="0"/>
        <w:autoSpaceDE w:val="0"/>
        <w:autoSpaceDN w:val="0"/>
        <w:bidi w:val="0"/>
        <w:adjustRightInd w:val="0"/>
        <w:spacing w:beforeAutospacing="0" w:afterAutospacing="0" w:line="520" w:lineRule="exact"/>
        <w:ind w:firstLine="640"/>
        <w:textAlignment w:val="auto"/>
        <w:rPr>
          <w:rFonts w:hint="eastAsia" w:ascii="宋体" w:hAnsi="宋体" w:eastAsia="宋体" w:cs="宋体"/>
          <w:sz w:val="30"/>
          <w:szCs w:val="30"/>
          <w:lang w:val="en-US" w:eastAsia="zh-CN"/>
        </w:rPr>
      </w:pPr>
      <w:r>
        <w:rPr>
          <w:rFonts w:hint="eastAsia" w:ascii="宋体" w:hAnsi="宋体" w:eastAsia="宋体" w:cs="宋体"/>
          <w:sz w:val="30"/>
          <w:szCs w:val="30"/>
          <w:lang w:val="en-US" w:eastAsia="zh-CN"/>
        </w:rPr>
        <w:t>2、统筹推动发展全县农村社会事业、农村公共服务、农村文化、农村基础设施和乡村治理。牵头组织改善农村人居环境，指导“美丽乡村”创建、农村精神文明和优秀农耕文化建设。</w:t>
      </w:r>
    </w:p>
    <w:p w14:paraId="4755173B">
      <w:pPr>
        <w:keepNext w:val="0"/>
        <w:keepLines w:val="0"/>
        <w:pageBreakBefore w:val="0"/>
        <w:kinsoku/>
        <w:wordWrap/>
        <w:overflowPunct/>
        <w:topLinePunct w:val="0"/>
        <w:autoSpaceDE w:val="0"/>
        <w:autoSpaceDN w:val="0"/>
        <w:bidi w:val="0"/>
        <w:adjustRightInd w:val="0"/>
        <w:spacing w:beforeAutospacing="0" w:afterAutospacing="0" w:line="520" w:lineRule="exact"/>
        <w:ind w:firstLine="640"/>
        <w:textAlignment w:val="auto"/>
        <w:rPr>
          <w:rFonts w:hint="eastAsia" w:ascii="宋体" w:hAnsi="宋体" w:eastAsia="宋体" w:cs="宋体"/>
          <w:sz w:val="30"/>
          <w:szCs w:val="30"/>
          <w:lang w:val="en-US" w:eastAsia="zh-CN"/>
        </w:rPr>
      </w:pPr>
      <w:r>
        <w:rPr>
          <w:rFonts w:hint="eastAsia" w:ascii="宋体" w:hAnsi="宋体" w:eastAsia="宋体" w:cs="宋体"/>
          <w:sz w:val="30"/>
          <w:szCs w:val="30"/>
          <w:lang w:val="en-US" w:eastAsia="zh-CN"/>
        </w:rPr>
        <w:t>3、拟订深化农村经济体制改革和巩固完善农村基本经营制度的政策及配套措施。负责农民承包地、农村宅基地改革和管理有关工作。负责农村集体产权制度改革，指导农村集体经济组织发展和集体资产管理工作。指导农民合作经济组织、农业社会化服务体系、新型农业经营主体建设与发展。</w:t>
      </w:r>
    </w:p>
    <w:p w14:paraId="61E6B8B0">
      <w:pPr>
        <w:keepNext w:val="0"/>
        <w:keepLines w:val="0"/>
        <w:pageBreakBefore w:val="0"/>
        <w:kinsoku/>
        <w:wordWrap/>
        <w:overflowPunct/>
        <w:topLinePunct w:val="0"/>
        <w:autoSpaceDE w:val="0"/>
        <w:autoSpaceDN w:val="0"/>
        <w:bidi w:val="0"/>
        <w:adjustRightInd w:val="0"/>
        <w:spacing w:beforeAutospacing="0" w:afterAutospacing="0" w:line="520" w:lineRule="exact"/>
        <w:ind w:firstLine="640"/>
        <w:textAlignment w:val="auto"/>
        <w:rPr>
          <w:rFonts w:hint="eastAsia" w:ascii="宋体" w:hAnsi="宋体" w:eastAsia="宋体" w:cs="宋体"/>
          <w:sz w:val="30"/>
          <w:szCs w:val="30"/>
          <w:lang w:val="en-US" w:eastAsia="zh-CN"/>
        </w:rPr>
      </w:pPr>
      <w:r>
        <w:rPr>
          <w:rFonts w:hint="eastAsia" w:ascii="宋体" w:hAnsi="宋体" w:eastAsia="宋体" w:cs="宋体"/>
          <w:sz w:val="30"/>
          <w:szCs w:val="30"/>
          <w:lang w:val="en-US" w:eastAsia="zh-CN"/>
        </w:rPr>
        <w:t>4、负责高效生态农业产业体系建设。指导乡村特色产业、农产品加工业，体闲观光农业和农家乐发展工作。提出促进大宗农产品流通的建议，培育、保护农业品牌，指导农产品营销管理工作和农业国际国内展示展销活动。发布农业农村经济信息，监测分析农业农村经济运行。承担农业统计和农业农村信息化有关工作。</w:t>
      </w:r>
    </w:p>
    <w:p w14:paraId="2C9AEA4B">
      <w:pPr>
        <w:keepNext w:val="0"/>
        <w:keepLines w:val="0"/>
        <w:pageBreakBefore w:val="0"/>
        <w:kinsoku/>
        <w:wordWrap/>
        <w:overflowPunct/>
        <w:topLinePunct w:val="0"/>
        <w:autoSpaceDE w:val="0"/>
        <w:autoSpaceDN w:val="0"/>
        <w:bidi w:val="0"/>
        <w:adjustRightInd w:val="0"/>
        <w:spacing w:beforeAutospacing="0" w:afterAutospacing="0" w:line="520" w:lineRule="exact"/>
        <w:ind w:firstLine="640"/>
        <w:textAlignment w:val="auto"/>
        <w:rPr>
          <w:rFonts w:hint="eastAsia" w:ascii="宋体" w:hAnsi="宋体" w:eastAsia="宋体" w:cs="宋体"/>
          <w:kern w:val="2"/>
          <w:sz w:val="30"/>
          <w:szCs w:val="30"/>
          <w:lang w:val="en-US" w:eastAsia="zh-CN" w:bidi="ar-SA"/>
        </w:rPr>
      </w:pPr>
      <w:r>
        <w:rPr>
          <w:rFonts w:hint="eastAsia" w:ascii="宋体" w:hAnsi="宋体" w:eastAsia="宋体" w:cs="宋体"/>
          <w:sz w:val="30"/>
          <w:szCs w:val="30"/>
          <w:lang w:val="en-US" w:eastAsia="zh-CN"/>
        </w:rPr>
        <w:t>5、负责种植业、畜牧业、渔业、农业机械化等农业各产业的监督管理。指导粮食等农产品生产。组织构建现代农业产业体系、生产体系、经营体系，指导农业标准化生产。监督落实双多边渔业条约和协定。负责农业机械、农药使用和渔业安全生产监督管理，负责农家乐安全管理工作，指导休闲观光农业安全管理工作，指导农业行业安全生产工作。落实农业农村领域生态环境保护要求，配合做好农业生</w:t>
      </w:r>
      <w:r>
        <w:rPr>
          <w:rFonts w:hint="eastAsia" w:ascii="宋体" w:hAnsi="宋体" w:eastAsia="宋体" w:cs="宋体"/>
          <w:kern w:val="2"/>
          <w:sz w:val="30"/>
          <w:szCs w:val="30"/>
          <w:lang w:val="en-US" w:eastAsia="zh-CN" w:bidi="ar-SA"/>
        </w:rPr>
        <w:t>态环境污染的调查处理工作。</w:t>
      </w:r>
    </w:p>
    <w:p w14:paraId="3774F9C0">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6、负责农产品质量安全监督管理。组织开展农产品质量安全监测、追溯。参与制定农产品质量安全地方标准并会同有关部门组织实施。指导农业检验检测体系建设。指导划定农产品禁止生产区城。</w:t>
      </w:r>
    </w:p>
    <w:p w14:paraId="6F879F26">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7、负责农业资源管理。指导农用地、渔业水域以及农业生物物种资源的保护与管理，负责水生野生动植物保护、耕地及永久基本农田质量保护工作。指导农产品产地环境管理和农业清洁生产。指导设施农业、生态循环农业、节水农业发展以及农业可再生能源综合开发利用、农业生物质产业发展。牵头管理外来物种。</w:t>
      </w:r>
    </w:p>
    <w:p w14:paraId="48D644A5">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8、负责有关农业生产资料和农业投入品的监督管理。组织农业生产资料市场体系建设，拟订有关农业生产资料地方标准并监督实施。依法开展农业行政许可及其监督管理。组织兽医医政、兽药药政药检工作，负责执业兽医和畜禽屠宰行业管理。开展兽医器械和有关肥料的监督管理。</w:t>
      </w:r>
    </w:p>
    <w:p w14:paraId="5CC003D9">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9、负责农业防灾减灾、农作物重大病虫害监测防治工作。指导动植物防疫检疫体系建设，组织、监督县内动植物防疫检疫工作，监测动植物疫情疫病，依法发布疫情并组织扑灭。</w:t>
      </w:r>
    </w:p>
    <w:p w14:paraId="1FCA3E47">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10、负责农业投资管理。提出农业投融资体制机制改革、县投资安排的农业投资项目建设规划、农业投资规模和方向、扶持农业农村发展财政项目的建议。按权限审批农业投资项目、负责农业投资项目资金安排和监督管理。</w:t>
      </w:r>
    </w:p>
    <w:p w14:paraId="33304D7E">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11、推动农业科技发展和农业技术推广队伍体系建设。指导农业产业技术体系和农技推广体系建设，组织开展农业领域应用技术研究、科技成果转化和技术推广。负责农业转基因生物安全监督管理和农业植物新品种保护，按分工负责农业野生植物保护工作。</w:t>
      </w:r>
    </w:p>
    <w:p w14:paraId="457CBFCA">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12、指导农业农村人才工作。拟订农业农村人才队伍建设规划并组织实施，指导农业教育和农业职业技能开发，组织新型职业农民培育、农业科技人才培养和农村实用人才培训工作。</w:t>
      </w:r>
    </w:p>
    <w:p w14:paraId="673DF952">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13、组织开展农业对外合作工作。承办有关农业涉外事务，组织开展农业贸易促进和有关国际交流合作，参与有关农业对外援助项目。</w:t>
      </w:r>
    </w:p>
    <w:p w14:paraId="2DC287B1">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14、拟订农产产业扶贫工作规划和政策并组织实施，指导搞好乡村特色产业、农业产业、农业产业扶贫工作台。完成上级扶贫机构交办的有关工作。会同有关部门衔接重点帮扶工作。</w:t>
      </w:r>
    </w:p>
    <w:p w14:paraId="2CAA1E98">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15、负责保障水资源的合理开发利用和高标准农田水利建设。拟订全县水利发展规划和政策，贯彻执行国家法律法规，起草水利方面的规范性文件并组织实施，组织编制全县水资源综合规划、重要江河流域综合规划等重大水利规划。</w:t>
      </w:r>
    </w:p>
    <w:p w14:paraId="09F63EC1">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16、负责生活、生产经营和生态环境用水的科学配置和保障。组织实施最严格水资源管理制度，实施水资源的统一监督管理、拟订全县水中长期供求规划、水量分配方案并监督实施。负责相关调水工程的水资源调度。组织实施取水许可制度、水资源有偿使用制度、水资源论证、指导开展水资源有偿使用工作。指导水利行业供水和乡镇供水工作。</w:t>
      </w:r>
    </w:p>
    <w:p w14:paraId="728E45E5">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17、按规定制定水利工程建设和运行管理有关制度并组织实施，负责提出水利固定资产投资规模、方向、具体安排建设并组织指导实施，按县政府规定权限审批、核准国县规划内和年度计划规模内水利固定资产投资项目，提出全县水利资金安排建议并负责项目实施的监督管理。</w:t>
      </w:r>
    </w:p>
    <w:p w14:paraId="6D8837AA">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18、指导水资源保护工作。组织编制并实施全县水资源保护规划。指导饮用水水源保护有关工作，指导地下水开发利用和地下水资源管理保护。</w:t>
      </w:r>
    </w:p>
    <w:p w14:paraId="02C20F77">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19、负责节约用水工作。拟订全县计划用水、节约用水政策，组织编制全县节约用水规划并监督实施，组织拟订有关标准。组织实施用水总量控制等管理制度，指导和推动节水型社会建设工作。</w:t>
      </w:r>
    </w:p>
    <w:p w14:paraId="2EFBBC27">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20、指导水利设施、水域的管理、保护与综合利用。指导河流水库的治理、开发和保护。承担河长制组织实施具体工作。</w:t>
      </w:r>
    </w:p>
    <w:p w14:paraId="3216F4F8">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21、指导监督水利工程建设与运行管理。组织指导水利基础设施网络建设和运行管理。指导水利建设市场的监督管理，组织实施水利工程建设的督促。</w:t>
      </w:r>
    </w:p>
    <w:p w14:paraId="3BC63AA5">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22、负责水土保持工作。拟订全县水土保持规划并监督实施，组织实施水土流失的综合防治、治理。负责建设项目水土保持监督管理工作，指导重点水土保持建设项目的实施。</w:t>
      </w:r>
    </w:p>
    <w:p w14:paraId="03FFB7A7">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23、指导农村水利工作。组织开展灌排工程建设与改造。指导农村饮水安全工程建设管理工作，指导节水灌溉有关工作。指导农村水利改革创新和社会化服务体系建设。指导农村水能资源开发、小水电改造和水电农村电气化工作。</w:t>
      </w:r>
    </w:p>
    <w:p w14:paraId="06E795F7">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24、指导水利工程移民管理工作。拟订全县水利工程移民有关政策并监督实施，组织指导水利工程移民安置验收、监督评估等制度。指导监督水库移民后期扶持政策的实施。</w:t>
      </w:r>
    </w:p>
    <w:p w14:paraId="2F9AE462">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25、指导协调重大涉水违法事件的查处，协调和仲裁跨县水事纠纷，指导水政监察和水政执法。依法负责水利行业安全生产工作，组织指导水库等水利工程的安全监管。</w:t>
      </w:r>
    </w:p>
    <w:p w14:paraId="3F179144">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26、开展水利科技和外事工作。拟订水利行业的地方技术标准、规程规范并监督实施，组织开展水利行业质量监督工作。</w:t>
      </w:r>
    </w:p>
    <w:p w14:paraId="424928AC">
      <w:pPr>
        <w:pStyle w:val="3"/>
        <w:keepNext w:val="0"/>
        <w:keepLines w:val="0"/>
        <w:pageBreakBefore w:val="0"/>
        <w:widowControl/>
        <w:suppressLineNumbers w:val="0"/>
        <w:kinsoku/>
        <w:wordWrap/>
        <w:overflowPunct/>
        <w:topLinePunct w:val="0"/>
        <w:bidi w:val="0"/>
        <w:spacing w:before="0" w:beforeAutospacing="0" w:after="0" w:afterAutospacing="0"/>
        <w:ind w:left="0" w:firstLine="42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27、负责落实综合防灾减灾规划相关要求，组织编制全县洪水旱灾害防治规划和防护标准并指导实施。承担水情旱情监测预警工作。组织编制全县水利重要工程的防御洪水抗御旱灾调度及应急水量调度方案，按程序报批并组织实施。承担防御洪水应急抢险的技术支撑工作。承担台风防御期间重要水工程调度工作。</w:t>
      </w:r>
    </w:p>
    <w:p w14:paraId="324BCAAA">
      <w:pPr>
        <w:keepNext w:val="0"/>
        <w:keepLines w:val="0"/>
        <w:pageBreakBefore w:val="0"/>
        <w:numPr>
          <w:ilvl w:val="0"/>
          <w:numId w:val="0"/>
        </w:numPr>
        <w:kinsoku/>
        <w:wordWrap/>
        <w:overflowPunct/>
        <w:topLinePunct w:val="0"/>
        <w:autoSpaceDE/>
        <w:autoSpaceDN/>
        <w:bidi w:val="0"/>
        <w:adjustRightInd/>
        <w:snapToGrid w:val="0"/>
        <w:spacing w:line="520" w:lineRule="exact"/>
        <w:ind w:firstLine="300" w:firstLineChars="100"/>
        <w:textAlignment w:val="auto"/>
        <w:rPr>
          <w:rFonts w:hint="eastAsia" w:ascii="宋体" w:hAnsi="宋体" w:eastAsia="宋体" w:cs="宋体"/>
          <w:kern w:val="2"/>
          <w:sz w:val="30"/>
          <w:szCs w:val="30"/>
          <w:lang w:val="en-US" w:eastAsia="zh-CN" w:bidi="ar-SA"/>
        </w:rPr>
      </w:pPr>
      <w:r>
        <w:rPr>
          <w:rFonts w:hint="eastAsia" w:ascii="宋体" w:hAnsi="宋体" w:eastAsia="宋体" w:cs="宋体"/>
          <w:kern w:val="2"/>
          <w:sz w:val="30"/>
          <w:szCs w:val="30"/>
          <w:lang w:val="en-US" w:eastAsia="zh-CN" w:bidi="ar-SA"/>
        </w:rPr>
        <w:t>28、完成县委、县政府交办的其他任务。</w:t>
      </w:r>
    </w:p>
    <w:p w14:paraId="564C9347">
      <w:pPr>
        <w:keepNext w:val="0"/>
        <w:keepLines w:val="0"/>
        <w:pageBreakBefore w:val="0"/>
        <w:numPr>
          <w:ilvl w:val="0"/>
          <w:numId w:val="0"/>
        </w:numPr>
        <w:kinsoku/>
        <w:wordWrap/>
        <w:overflowPunct/>
        <w:topLinePunct w:val="0"/>
        <w:autoSpaceDE/>
        <w:autoSpaceDN/>
        <w:bidi w:val="0"/>
        <w:adjustRightInd/>
        <w:snapToGrid w:val="0"/>
        <w:spacing w:line="520" w:lineRule="exact"/>
        <w:ind w:firstLine="0"/>
        <w:textAlignment w:val="auto"/>
        <w:rPr>
          <w:rFonts w:hint="eastAsia" w:ascii="黑体" w:hAnsi="黑体" w:eastAsia="黑体" w:cs="黑体"/>
          <w:i w:val="0"/>
          <w:iCs w:val="0"/>
          <w:caps w:val="0"/>
          <w:color w:val="000000"/>
          <w:spacing w:val="0"/>
          <w:kern w:val="0"/>
          <w:sz w:val="32"/>
          <w:szCs w:val="32"/>
          <w:shd w:val="clear" w:fill="FFFFFF"/>
          <w:lang w:val="en-US" w:eastAsia="zh-CN" w:bidi="ar"/>
        </w:rPr>
      </w:pPr>
      <w:r>
        <w:rPr>
          <w:rFonts w:hint="eastAsia" w:ascii="黑体" w:hAnsi="黑体" w:eastAsia="黑体" w:cs="黑体"/>
          <w:i w:val="0"/>
          <w:iCs w:val="0"/>
          <w:caps w:val="0"/>
          <w:color w:val="000000"/>
          <w:spacing w:val="0"/>
          <w:kern w:val="0"/>
          <w:sz w:val="32"/>
          <w:szCs w:val="32"/>
          <w:shd w:val="clear" w:fill="FFFFFF"/>
          <w:lang w:val="en-US" w:eastAsia="zh-CN" w:bidi="ar"/>
        </w:rPr>
        <w:t>二、部门整体支出管理及使用情况</w:t>
      </w:r>
    </w:p>
    <w:p w14:paraId="60B33C62">
      <w:pPr>
        <w:pStyle w:val="7"/>
        <w:widowControl/>
        <w:spacing w:line="600" w:lineRule="exact"/>
        <w:ind w:left="640" w:firstLine="0" w:firstLineChars="0"/>
        <w:rPr>
          <w:rFonts w:hint="default" w:ascii="Times New Roman" w:hAnsi="Times New Roman" w:eastAsia="楷体_GB2312" w:cs="Times New Roman"/>
          <w:sz w:val="32"/>
          <w:szCs w:val="32"/>
        </w:rPr>
      </w:pPr>
      <w:r>
        <w:rPr>
          <w:rFonts w:hint="default" w:ascii="Times New Roman" w:hAnsi="Times New Roman" w:eastAsia="楷体_GB2312" w:cs="Times New Roman"/>
          <w:b w:val="0"/>
          <w:bCs/>
          <w:kern w:val="2"/>
          <w:sz w:val="32"/>
          <w:szCs w:val="32"/>
          <w:lang w:val="en-US" w:eastAsia="zh-CN" w:bidi="ar-SA"/>
        </w:rPr>
        <w:t>（一）</w:t>
      </w:r>
      <w:r>
        <w:rPr>
          <w:rFonts w:hint="eastAsia" w:ascii="Times New Roman" w:hAnsi="Times New Roman" w:eastAsia="楷体_GB2312" w:cs="Times New Roman"/>
          <w:b w:val="0"/>
          <w:bCs/>
          <w:kern w:val="2"/>
          <w:sz w:val="32"/>
          <w:szCs w:val="32"/>
          <w:lang w:val="en-US" w:eastAsia="zh-CN" w:bidi="ar-SA"/>
        </w:rPr>
        <w:t>部门</w:t>
      </w:r>
      <w:r>
        <w:rPr>
          <w:rFonts w:hint="default" w:ascii="Times New Roman" w:hAnsi="Times New Roman" w:eastAsia="楷体_GB2312" w:cs="Times New Roman"/>
          <w:b w:val="0"/>
          <w:bCs/>
          <w:kern w:val="2"/>
          <w:sz w:val="32"/>
          <w:szCs w:val="32"/>
          <w:lang w:val="en-US" w:eastAsia="zh-CN" w:bidi="ar-SA"/>
        </w:rPr>
        <w:t>预决算情况</w:t>
      </w:r>
    </w:p>
    <w:p w14:paraId="37004AF0">
      <w:pPr>
        <w:spacing w:line="600" w:lineRule="exact"/>
        <w:ind w:firstLine="600" w:firstLineChars="200"/>
        <w:rPr>
          <w:rFonts w:hint="default" w:ascii="宋体" w:hAnsi="宋体" w:eastAsia="宋体" w:cs="宋体"/>
          <w:kern w:val="2"/>
          <w:sz w:val="30"/>
          <w:szCs w:val="30"/>
          <w:lang w:val="en-US" w:eastAsia="zh-CN" w:bidi="ar-SA"/>
        </w:rPr>
      </w:pPr>
      <w:r>
        <w:rPr>
          <w:rFonts w:hint="default" w:ascii="宋体" w:hAnsi="宋体" w:eastAsia="宋体" w:cs="宋体"/>
          <w:kern w:val="2"/>
          <w:sz w:val="30"/>
          <w:szCs w:val="30"/>
          <w:lang w:val="en-US" w:eastAsia="zh-CN" w:bidi="ar-SA"/>
        </w:rPr>
        <w:t>1.部门预算情况</w:t>
      </w:r>
    </w:p>
    <w:p w14:paraId="343D3031">
      <w:pPr>
        <w:spacing w:line="600" w:lineRule="exact"/>
        <w:ind w:firstLine="600" w:firstLineChars="200"/>
        <w:rPr>
          <w:rFonts w:hint="default" w:ascii="宋体" w:hAnsi="宋体" w:eastAsia="宋体" w:cs="宋体"/>
          <w:kern w:val="2"/>
          <w:sz w:val="30"/>
          <w:szCs w:val="30"/>
          <w:lang w:val="en-US" w:eastAsia="zh-CN" w:bidi="ar-SA"/>
        </w:rPr>
      </w:pPr>
      <w:r>
        <w:rPr>
          <w:rFonts w:hint="default" w:ascii="宋体" w:hAnsi="宋体" w:eastAsia="宋体" w:cs="宋体"/>
          <w:kern w:val="2"/>
          <w:sz w:val="30"/>
          <w:szCs w:val="30"/>
          <w:lang w:val="en-US" w:eastAsia="zh-CN" w:bidi="ar-SA"/>
        </w:rPr>
        <w:t>2023年年初预算安排收入5224</w:t>
      </w:r>
      <w:r>
        <w:rPr>
          <w:rFonts w:hint="eastAsia" w:ascii="宋体" w:hAnsi="宋体" w:eastAsia="宋体" w:cs="宋体"/>
          <w:kern w:val="2"/>
          <w:sz w:val="30"/>
          <w:szCs w:val="30"/>
          <w:lang w:val="en-US" w:eastAsia="zh-CN" w:bidi="ar-SA"/>
        </w:rPr>
        <w:t>.</w:t>
      </w:r>
      <w:r>
        <w:rPr>
          <w:rFonts w:hint="default" w:ascii="宋体" w:hAnsi="宋体" w:eastAsia="宋体" w:cs="宋体"/>
          <w:kern w:val="2"/>
          <w:sz w:val="30"/>
          <w:szCs w:val="30"/>
          <w:lang w:val="en-US" w:eastAsia="zh-CN" w:bidi="ar-SA"/>
        </w:rPr>
        <w:t>1</w:t>
      </w:r>
      <w:r>
        <w:rPr>
          <w:rFonts w:hint="eastAsia" w:ascii="宋体" w:hAnsi="宋体" w:eastAsia="宋体" w:cs="宋体"/>
          <w:kern w:val="2"/>
          <w:sz w:val="30"/>
          <w:szCs w:val="30"/>
          <w:lang w:val="en-US" w:eastAsia="zh-CN" w:bidi="ar-SA"/>
        </w:rPr>
        <w:t>8</w:t>
      </w:r>
      <w:r>
        <w:rPr>
          <w:rFonts w:hint="default" w:ascii="宋体" w:hAnsi="宋体" w:eastAsia="宋体" w:cs="宋体"/>
          <w:kern w:val="2"/>
          <w:sz w:val="30"/>
          <w:szCs w:val="30"/>
          <w:lang w:val="en-US" w:eastAsia="zh-CN" w:bidi="ar-SA"/>
        </w:rPr>
        <w:t>万元，其中一般公共财政拨款5224</w:t>
      </w:r>
      <w:r>
        <w:rPr>
          <w:rFonts w:hint="eastAsia" w:ascii="宋体" w:hAnsi="宋体" w:eastAsia="宋体" w:cs="宋体"/>
          <w:kern w:val="2"/>
          <w:sz w:val="30"/>
          <w:szCs w:val="30"/>
          <w:lang w:val="en-US" w:eastAsia="zh-CN" w:bidi="ar-SA"/>
        </w:rPr>
        <w:t>.</w:t>
      </w:r>
      <w:r>
        <w:rPr>
          <w:rFonts w:hint="default" w:ascii="宋体" w:hAnsi="宋体" w:eastAsia="宋体" w:cs="宋体"/>
          <w:kern w:val="2"/>
          <w:sz w:val="30"/>
          <w:szCs w:val="30"/>
          <w:lang w:val="en-US" w:eastAsia="zh-CN" w:bidi="ar-SA"/>
        </w:rPr>
        <w:t>1</w:t>
      </w:r>
      <w:r>
        <w:rPr>
          <w:rFonts w:hint="eastAsia" w:ascii="宋体" w:hAnsi="宋体" w:eastAsia="宋体" w:cs="宋体"/>
          <w:kern w:val="2"/>
          <w:sz w:val="30"/>
          <w:szCs w:val="30"/>
          <w:lang w:val="en-US" w:eastAsia="zh-CN" w:bidi="ar-SA"/>
        </w:rPr>
        <w:t>8</w:t>
      </w:r>
      <w:r>
        <w:rPr>
          <w:rFonts w:hint="default" w:ascii="宋体" w:hAnsi="宋体" w:eastAsia="宋体" w:cs="宋体"/>
          <w:kern w:val="2"/>
          <w:sz w:val="30"/>
          <w:szCs w:val="30"/>
          <w:lang w:val="en-US" w:eastAsia="zh-CN" w:bidi="ar-SA"/>
        </w:rPr>
        <w:t>万元；2023年年初预算安排支出5224</w:t>
      </w:r>
      <w:r>
        <w:rPr>
          <w:rFonts w:hint="eastAsia" w:ascii="宋体" w:hAnsi="宋体" w:eastAsia="宋体" w:cs="宋体"/>
          <w:kern w:val="2"/>
          <w:sz w:val="30"/>
          <w:szCs w:val="30"/>
          <w:lang w:val="en-US" w:eastAsia="zh-CN" w:bidi="ar-SA"/>
        </w:rPr>
        <w:t>.</w:t>
      </w:r>
      <w:r>
        <w:rPr>
          <w:rFonts w:hint="default" w:ascii="宋体" w:hAnsi="宋体" w:eastAsia="宋体" w:cs="宋体"/>
          <w:kern w:val="2"/>
          <w:sz w:val="30"/>
          <w:szCs w:val="30"/>
          <w:lang w:val="en-US" w:eastAsia="zh-CN" w:bidi="ar-SA"/>
        </w:rPr>
        <w:t>1</w:t>
      </w:r>
      <w:r>
        <w:rPr>
          <w:rFonts w:hint="eastAsia" w:ascii="宋体" w:hAnsi="宋体" w:eastAsia="宋体" w:cs="宋体"/>
          <w:kern w:val="2"/>
          <w:sz w:val="30"/>
          <w:szCs w:val="30"/>
          <w:lang w:val="en-US" w:eastAsia="zh-CN" w:bidi="ar-SA"/>
        </w:rPr>
        <w:t>8</w:t>
      </w:r>
      <w:r>
        <w:rPr>
          <w:rFonts w:hint="default" w:ascii="宋体" w:hAnsi="宋体" w:eastAsia="宋体" w:cs="宋体"/>
          <w:kern w:val="2"/>
          <w:sz w:val="30"/>
          <w:szCs w:val="30"/>
          <w:lang w:val="en-US" w:eastAsia="zh-CN" w:bidi="ar-SA"/>
        </w:rPr>
        <w:t>万元，其中：基本支出1,162.14万元，项目支出4,062.04万元。</w:t>
      </w:r>
    </w:p>
    <w:p w14:paraId="3481747D">
      <w:pPr>
        <w:spacing w:line="600" w:lineRule="exact"/>
        <w:ind w:firstLine="600" w:firstLineChars="200"/>
        <w:rPr>
          <w:rFonts w:hint="default" w:ascii="宋体" w:hAnsi="宋体" w:eastAsia="宋体" w:cs="宋体"/>
          <w:kern w:val="2"/>
          <w:sz w:val="30"/>
          <w:szCs w:val="30"/>
          <w:lang w:val="en-US" w:eastAsia="zh-CN" w:bidi="ar-SA"/>
        </w:rPr>
      </w:pPr>
      <w:r>
        <w:rPr>
          <w:rFonts w:hint="default" w:ascii="宋体" w:hAnsi="宋体" w:eastAsia="宋体" w:cs="宋体"/>
          <w:kern w:val="2"/>
          <w:sz w:val="30"/>
          <w:szCs w:val="30"/>
          <w:lang w:val="en-US" w:eastAsia="zh-CN" w:bidi="ar-SA"/>
        </w:rPr>
        <w:t>2.部门决算情况（含年中预算追加情况）</w:t>
      </w:r>
    </w:p>
    <w:p w14:paraId="0408DA9E">
      <w:pPr>
        <w:spacing w:line="600" w:lineRule="exact"/>
        <w:ind w:firstLine="600" w:firstLineChars="200"/>
        <w:rPr>
          <w:rFonts w:hint="default" w:ascii="Times New Roman" w:hAnsi="Times New Roman" w:eastAsia="仿宋_GB2312" w:cs="Times New Roman"/>
          <w:sz w:val="32"/>
          <w:szCs w:val="32"/>
          <w:lang w:eastAsia="zh-CN"/>
        </w:rPr>
      </w:pPr>
      <w:r>
        <w:rPr>
          <w:rFonts w:hint="default" w:ascii="宋体" w:hAnsi="宋体" w:eastAsia="宋体" w:cs="宋体"/>
          <w:kern w:val="2"/>
          <w:sz w:val="30"/>
          <w:szCs w:val="30"/>
          <w:lang w:val="en-US" w:eastAsia="zh-CN" w:bidi="ar-SA"/>
        </w:rPr>
        <w:t>2023年决算总收入</w:t>
      </w:r>
      <w:r>
        <w:rPr>
          <w:rFonts w:hint="eastAsia" w:ascii="宋体" w:hAnsi="宋体" w:eastAsia="宋体" w:cs="宋体"/>
          <w:kern w:val="2"/>
          <w:sz w:val="30"/>
          <w:szCs w:val="30"/>
          <w:lang w:val="en-US" w:eastAsia="zh-CN" w:bidi="ar-SA"/>
        </w:rPr>
        <w:t>13031.11</w:t>
      </w:r>
      <w:r>
        <w:rPr>
          <w:rFonts w:hint="default" w:ascii="宋体" w:hAnsi="宋体" w:eastAsia="宋体" w:cs="宋体"/>
          <w:kern w:val="2"/>
          <w:sz w:val="30"/>
          <w:szCs w:val="30"/>
          <w:lang w:val="en-US" w:eastAsia="zh-CN" w:bidi="ar-SA"/>
        </w:rPr>
        <w:t>万元，较预算增加7806.93万元，总支出</w:t>
      </w:r>
      <w:r>
        <w:rPr>
          <w:rFonts w:hint="eastAsia" w:ascii="宋体" w:hAnsi="宋体" w:eastAsia="宋体" w:cs="宋体"/>
          <w:kern w:val="2"/>
          <w:sz w:val="30"/>
          <w:szCs w:val="30"/>
          <w:lang w:val="en-US" w:eastAsia="zh-CN" w:bidi="ar-SA"/>
        </w:rPr>
        <w:t>13031.11</w:t>
      </w:r>
      <w:r>
        <w:rPr>
          <w:rFonts w:hint="default" w:ascii="宋体" w:hAnsi="宋体" w:eastAsia="宋体" w:cs="宋体"/>
          <w:kern w:val="2"/>
          <w:sz w:val="30"/>
          <w:szCs w:val="30"/>
          <w:lang w:val="en-US" w:eastAsia="zh-CN" w:bidi="ar-SA"/>
        </w:rPr>
        <w:t>万元，其中：基本支出</w:t>
      </w:r>
      <w:r>
        <w:rPr>
          <w:rFonts w:hint="eastAsia" w:ascii="宋体" w:hAnsi="宋体" w:eastAsia="宋体" w:cs="宋体"/>
          <w:kern w:val="2"/>
          <w:sz w:val="30"/>
          <w:szCs w:val="30"/>
          <w:lang w:val="en-US" w:eastAsia="zh-CN" w:bidi="ar-SA"/>
        </w:rPr>
        <w:t>1861.58</w:t>
      </w:r>
      <w:r>
        <w:rPr>
          <w:rFonts w:hint="default" w:ascii="宋体" w:hAnsi="宋体" w:eastAsia="宋体" w:cs="宋体"/>
          <w:kern w:val="2"/>
          <w:sz w:val="30"/>
          <w:szCs w:val="30"/>
          <w:lang w:val="en-US" w:eastAsia="zh-CN" w:bidi="ar-SA"/>
        </w:rPr>
        <w:t>万元，占总支出的</w:t>
      </w:r>
      <w:r>
        <w:rPr>
          <w:rFonts w:hint="eastAsia" w:ascii="宋体" w:hAnsi="宋体" w:eastAsia="宋体" w:cs="宋体"/>
          <w:kern w:val="2"/>
          <w:sz w:val="30"/>
          <w:szCs w:val="30"/>
          <w:lang w:val="en-US" w:eastAsia="zh-CN" w:bidi="ar-SA"/>
        </w:rPr>
        <w:t>14.29</w:t>
      </w:r>
      <w:r>
        <w:rPr>
          <w:rFonts w:hint="default" w:ascii="宋体" w:hAnsi="宋体" w:eastAsia="宋体" w:cs="宋体"/>
          <w:kern w:val="2"/>
          <w:sz w:val="30"/>
          <w:szCs w:val="30"/>
          <w:lang w:val="en-US" w:eastAsia="zh-CN" w:bidi="ar-SA"/>
        </w:rPr>
        <w:t>％；项目支出</w:t>
      </w:r>
      <w:r>
        <w:rPr>
          <w:rFonts w:hint="eastAsia" w:ascii="宋体" w:hAnsi="宋体" w:eastAsia="宋体" w:cs="宋体"/>
          <w:kern w:val="2"/>
          <w:sz w:val="30"/>
          <w:szCs w:val="30"/>
          <w:lang w:val="en-US" w:eastAsia="zh-CN" w:bidi="ar-SA"/>
        </w:rPr>
        <w:t>11169.53</w:t>
      </w:r>
      <w:r>
        <w:rPr>
          <w:rFonts w:hint="default" w:ascii="宋体" w:hAnsi="宋体" w:eastAsia="宋体" w:cs="宋体"/>
          <w:kern w:val="2"/>
          <w:sz w:val="30"/>
          <w:szCs w:val="30"/>
          <w:lang w:val="en-US" w:eastAsia="zh-CN" w:bidi="ar-SA"/>
        </w:rPr>
        <w:t>万元，占总支出的</w:t>
      </w:r>
      <w:r>
        <w:rPr>
          <w:rFonts w:hint="eastAsia" w:ascii="宋体" w:hAnsi="宋体" w:eastAsia="宋体" w:cs="宋体"/>
          <w:kern w:val="2"/>
          <w:sz w:val="30"/>
          <w:szCs w:val="30"/>
          <w:lang w:val="en-US" w:eastAsia="zh-CN" w:bidi="ar-SA"/>
        </w:rPr>
        <w:t>85.71</w:t>
      </w:r>
      <w:r>
        <w:rPr>
          <w:rFonts w:hint="default" w:ascii="宋体" w:hAnsi="宋体" w:eastAsia="宋体" w:cs="宋体"/>
          <w:kern w:val="2"/>
          <w:sz w:val="30"/>
          <w:szCs w:val="30"/>
          <w:lang w:val="en-US" w:eastAsia="zh-CN" w:bidi="ar-SA"/>
        </w:rPr>
        <w:t>％。差异产生的主要原因是</w:t>
      </w:r>
      <w:r>
        <w:rPr>
          <w:rFonts w:hint="eastAsia" w:ascii="宋体" w:hAnsi="宋体" w:eastAsia="宋体" w:cs="宋体"/>
          <w:kern w:val="2"/>
          <w:sz w:val="30"/>
          <w:szCs w:val="30"/>
          <w:lang w:val="en-US" w:eastAsia="zh-CN" w:bidi="ar-SA"/>
        </w:rPr>
        <w:t>增加了项目款项</w:t>
      </w:r>
      <w:r>
        <w:rPr>
          <w:rFonts w:hint="default" w:ascii="宋体" w:hAnsi="宋体" w:eastAsia="宋体" w:cs="宋体"/>
          <w:kern w:val="2"/>
          <w:sz w:val="30"/>
          <w:szCs w:val="30"/>
          <w:lang w:val="en-US" w:eastAsia="zh-CN" w:bidi="ar-SA"/>
        </w:rPr>
        <w:t>。</w:t>
      </w:r>
    </w:p>
    <w:p w14:paraId="6D6F463A">
      <w:pPr>
        <w:spacing w:line="600" w:lineRule="exact"/>
        <w:ind w:firstLine="640" w:firstLineChars="200"/>
        <w:rPr>
          <w:rFonts w:hint="default" w:ascii="Times New Roman" w:hAnsi="Times New Roman" w:eastAsia="楷体_GB2312" w:cs="Times New Roman"/>
          <w:kern w:val="2"/>
          <w:sz w:val="32"/>
          <w:szCs w:val="32"/>
          <w:lang w:val="en-US" w:eastAsia="zh-CN" w:bidi="ar-SA"/>
        </w:rPr>
      </w:pPr>
      <w:r>
        <w:rPr>
          <w:rFonts w:hint="default" w:ascii="Times New Roman" w:hAnsi="Times New Roman" w:eastAsia="楷体_GB2312" w:cs="Times New Roman"/>
          <w:kern w:val="2"/>
          <w:sz w:val="32"/>
          <w:szCs w:val="32"/>
          <w:lang w:val="en-US" w:eastAsia="zh-CN" w:bidi="ar-SA"/>
        </w:rPr>
        <w:t>（二）部门预算执行情况</w:t>
      </w:r>
    </w:p>
    <w:p w14:paraId="762FE61F">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经费执行情况</w:t>
      </w:r>
    </w:p>
    <w:p w14:paraId="3171AEB0">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经费预算数23.9万元，其中：因公出国（境）费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万元，公务用车购置及运行维护费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cs="Times New Roman"/>
          <w:sz w:val="32"/>
          <w:szCs w:val="32"/>
          <w:lang w:val="en-US" w:eastAsia="zh-CN"/>
        </w:rPr>
        <w:t>12</w:t>
      </w:r>
      <w:r>
        <w:rPr>
          <w:rFonts w:hint="default" w:ascii="Times New Roman" w:hAnsi="Times New Roman" w:eastAsia="仿宋_GB2312" w:cs="Times New Roman"/>
          <w:sz w:val="32"/>
          <w:szCs w:val="32"/>
          <w:lang w:eastAsia="zh-CN"/>
        </w:rPr>
        <w:t>万元。“三公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经费决算数</w:t>
      </w:r>
      <w:r>
        <w:rPr>
          <w:rFonts w:hint="eastAsia" w:ascii="Times New Roman" w:hAnsi="Times New Roman" w:eastAsia="仿宋_GB2312" w:cs="Times New Roman"/>
          <w:sz w:val="32"/>
          <w:szCs w:val="32"/>
          <w:lang w:val="en-US" w:eastAsia="zh-CN"/>
        </w:rPr>
        <w:t>7.23</w:t>
      </w:r>
      <w:r>
        <w:rPr>
          <w:rFonts w:hint="default" w:ascii="Times New Roman" w:hAnsi="Times New Roman" w:eastAsia="仿宋_GB2312" w:cs="Times New Roman"/>
          <w:sz w:val="32"/>
          <w:szCs w:val="32"/>
          <w:lang w:val="en-US" w:eastAsia="zh-CN"/>
        </w:rPr>
        <w:t>元</w:t>
      </w:r>
      <w:r>
        <w:rPr>
          <w:rFonts w:hint="default" w:ascii="Times New Roman" w:hAnsi="Times New Roman" w:eastAsia="仿宋_GB2312" w:cs="Times New Roman"/>
          <w:sz w:val="32"/>
          <w:szCs w:val="32"/>
          <w:lang w:eastAsia="zh-CN"/>
        </w:rPr>
        <w:t>，其中：因公出国（境）费</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万元，公务用车运行维护费</w:t>
      </w:r>
      <w:r>
        <w:rPr>
          <w:rFonts w:hint="eastAsia" w:ascii="Times New Roman" w:hAnsi="Times New Roman" w:eastAsia="仿宋_GB2312" w:cs="Times New Roman"/>
          <w:sz w:val="32"/>
          <w:szCs w:val="32"/>
          <w:lang w:val="en-US" w:eastAsia="zh-CN"/>
        </w:rPr>
        <w:t>3.87</w:t>
      </w:r>
      <w:r>
        <w:rPr>
          <w:rFonts w:hint="default" w:ascii="Times New Roman" w:hAnsi="Times New Roman" w:eastAsia="仿宋_GB2312" w:cs="Times New Roman"/>
          <w:sz w:val="32"/>
          <w:szCs w:val="32"/>
          <w:lang w:val="en-US" w:eastAsia="zh-CN"/>
        </w:rPr>
        <w:t>万</w:t>
      </w:r>
      <w:r>
        <w:rPr>
          <w:rFonts w:hint="default" w:ascii="Times New Roman" w:hAnsi="Times New Roman" w:eastAsia="仿宋_GB2312" w:cs="Times New Roman"/>
          <w:sz w:val="32"/>
          <w:szCs w:val="32"/>
          <w:lang w:eastAsia="zh-CN"/>
        </w:rPr>
        <w:t>元，公务接待费</w:t>
      </w:r>
      <w:r>
        <w:rPr>
          <w:rFonts w:hint="eastAsia" w:ascii="Times New Roman" w:hAnsi="Times New Roman" w:eastAsia="仿宋_GB2312" w:cs="Times New Roman"/>
          <w:sz w:val="32"/>
          <w:szCs w:val="32"/>
          <w:lang w:val="en-US" w:eastAsia="zh-CN"/>
        </w:rPr>
        <w:t>3.35</w:t>
      </w:r>
      <w:r>
        <w:rPr>
          <w:rFonts w:hint="default" w:ascii="Times New Roman" w:hAnsi="Times New Roman" w:eastAsia="仿宋_GB2312" w:cs="Times New Roman"/>
          <w:sz w:val="32"/>
          <w:szCs w:val="32"/>
          <w:lang w:eastAsia="zh-CN"/>
        </w:rPr>
        <w:t>万元。</w:t>
      </w:r>
    </w:p>
    <w:p w14:paraId="343A8C31">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lang w:eastAsia="zh-CN"/>
        </w:rPr>
        <w:t>.政府采购执行情况</w:t>
      </w:r>
    </w:p>
    <w:p w14:paraId="48508B2C">
      <w:pPr>
        <w:spacing w:line="600" w:lineRule="exact"/>
        <w:ind w:firstLine="640" w:firstLineChars="200"/>
        <w:rPr>
          <w:rFonts w:hint="default" w:ascii="楷体_GB2312" w:eastAsia="楷体_GB2312" w:cs="楷体_GB2312"/>
          <w:i w:val="0"/>
          <w:iCs w:val="0"/>
          <w:caps w:val="0"/>
          <w:color w:val="000000"/>
          <w:spacing w:val="0"/>
          <w:sz w:val="32"/>
          <w:szCs w:val="32"/>
        </w:rPr>
      </w:pPr>
      <w:r>
        <w:rPr>
          <w:rFonts w:hint="default" w:ascii="Times New Roman" w:hAnsi="Times New Roman" w:eastAsia="仿宋_GB2312" w:cs="Times New Roman"/>
          <w:sz w:val="32"/>
          <w:szCs w:val="32"/>
          <w:lang w:eastAsia="zh-CN"/>
        </w:rPr>
        <w:t>2023年度政府采购支出3408</w:t>
      </w:r>
      <w:r>
        <w:rPr>
          <w:rFonts w:hint="eastAsia" w:cs="Times New Roman"/>
          <w:sz w:val="32"/>
          <w:szCs w:val="32"/>
          <w:lang w:val="en-US" w:eastAsia="zh-CN"/>
        </w:rPr>
        <w:t>.</w:t>
      </w:r>
      <w:r>
        <w:rPr>
          <w:rFonts w:hint="default" w:ascii="Times New Roman" w:hAnsi="Times New Roman" w:eastAsia="仿宋_GB2312" w:cs="Times New Roman"/>
          <w:sz w:val="32"/>
          <w:szCs w:val="32"/>
          <w:lang w:eastAsia="zh-CN"/>
        </w:rPr>
        <w:t>3</w:t>
      </w:r>
      <w:r>
        <w:rPr>
          <w:rFonts w:hint="eastAsia" w:cs="Times New Roman"/>
          <w:sz w:val="32"/>
          <w:szCs w:val="32"/>
          <w:lang w:val="en-US" w:eastAsia="zh-CN"/>
        </w:rPr>
        <w:t>2</w:t>
      </w:r>
      <w:r>
        <w:rPr>
          <w:rFonts w:hint="default" w:ascii="Times New Roman" w:hAnsi="Times New Roman" w:eastAsia="仿宋_GB2312" w:cs="Times New Roman"/>
          <w:sz w:val="32"/>
          <w:szCs w:val="32"/>
          <w:lang w:eastAsia="zh-CN"/>
        </w:rPr>
        <w:t>万元，其中：货物</w:t>
      </w:r>
      <w:r>
        <w:rPr>
          <w:rFonts w:hint="eastAsia" w:cs="Times New Roman"/>
          <w:sz w:val="32"/>
          <w:szCs w:val="32"/>
          <w:lang w:val="en-US" w:eastAsia="zh-CN"/>
        </w:rPr>
        <w:t>440.07</w:t>
      </w:r>
      <w:r>
        <w:rPr>
          <w:rFonts w:hint="default" w:ascii="Times New Roman" w:hAnsi="Times New Roman" w:eastAsia="仿宋_GB2312" w:cs="Times New Roman"/>
          <w:sz w:val="32"/>
          <w:szCs w:val="32"/>
          <w:lang w:eastAsia="zh-CN"/>
        </w:rPr>
        <w:t>元，工程</w:t>
      </w:r>
      <w:r>
        <w:rPr>
          <w:rFonts w:hint="eastAsia" w:cs="Times New Roman"/>
          <w:sz w:val="32"/>
          <w:szCs w:val="32"/>
          <w:lang w:val="en-US" w:eastAsia="zh-CN"/>
        </w:rPr>
        <w:t>2968.25</w:t>
      </w:r>
      <w:r>
        <w:rPr>
          <w:rFonts w:hint="default" w:ascii="Times New Roman" w:hAnsi="Times New Roman" w:eastAsia="仿宋_GB2312" w:cs="Times New Roman"/>
          <w:sz w:val="32"/>
          <w:szCs w:val="32"/>
          <w:lang w:eastAsia="zh-CN"/>
        </w:rPr>
        <w:t>万元，服务</w:t>
      </w:r>
      <w:r>
        <w:rPr>
          <w:rFonts w:hint="eastAsia" w:cs="Times New Roman"/>
          <w:sz w:val="32"/>
          <w:szCs w:val="32"/>
          <w:lang w:val="en-US" w:eastAsia="zh-CN"/>
        </w:rPr>
        <w:t>0</w:t>
      </w:r>
      <w:r>
        <w:rPr>
          <w:rFonts w:hint="default" w:ascii="Times New Roman" w:hAnsi="Times New Roman" w:eastAsia="仿宋_GB2312" w:cs="Times New Roman"/>
          <w:sz w:val="32"/>
          <w:szCs w:val="32"/>
          <w:lang w:eastAsia="zh-CN"/>
        </w:rPr>
        <w:t>万元。</w:t>
      </w:r>
    </w:p>
    <w:p w14:paraId="1E8A9536">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政府性基金预算支出情况</w:t>
      </w:r>
    </w:p>
    <w:p w14:paraId="29173EC7">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000000"/>
          <w:kern w:val="2"/>
          <w:sz w:val="30"/>
          <w:szCs w:val="30"/>
          <w:lang w:val="en-US" w:eastAsia="zh-CN" w:bidi="ar-SA"/>
        </w:rPr>
      </w:pPr>
      <w:r>
        <w:rPr>
          <w:rFonts w:hint="eastAsia" w:ascii="Times New Roman" w:hAnsi="Times New Roman" w:eastAsia="仿宋_GB2312" w:cs="Times New Roman"/>
          <w:color w:val="auto"/>
          <w:kern w:val="0"/>
          <w:sz w:val="32"/>
          <w:szCs w:val="32"/>
          <w:lang w:val="en-US" w:eastAsia="zh-CN"/>
        </w:rPr>
        <w:t>农水局</w:t>
      </w:r>
      <w:r>
        <w:rPr>
          <w:rFonts w:hint="eastAsia" w:ascii="Times New Roman" w:hAnsi="Times New Roman" w:eastAsia="仿宋_GB2312" w:cs="Times New Roman"/>
          <w:color w:val="auto"/>
          <w:kern w:val="0"/>
          <w:sz w:val="32"/>
          <w:szCs w:val="32"/>
          <w:lang w:val="en-US" w:eastAsia="zh-CN" w:bidi="ar-SA"/>
        </w:rPr>
        <w:t>单位政府性基金的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rPr>
        <w:t>本年收入</w:t>
      </w:r>
      <w:r>
        <w:rPr>
          <w:rFonts w:hint="eastAsia" w:ascii="Times New Roman" w:hAnsi="Times New Roman" w:cs="Times New Roman"/>
          <w:color w:val="auto"/>
          <w:kern w:val="0"/>
          <w:sz w:val="32"/>
          <w:szCs w:val="32"/>
          <w:lang w:val="en-US" w:eastAsia="zh-CN" w:bidi="ar-SA"/>
        </w:rPr>
        <w:t>244.58</w:t>
      </w:r>
      <w:r>
        <w:rPr>
          <w:rFonts w:hint="eastAsia" w:ascii="Times New Roman" w:hAnsi="Times New Roman" w:eastAsia="仿宋_GB2312" w:cs="Times New Roman"/>
          <w:color w:val="auto"/>
          <w:kern w:val="0"/>
          <w:sz w:val="32"/>
          <w:szCs w:val="32"/>
          <w:lang w:val="en-US" w:eastAsia="zh-CN"/>
        </w:rPr>
        <w:t>万元，本年支出</w:t>
      </w:r>
      <w:r>
        <w:rPr>
          <w:rFonts w:hint="eastAsia" w:ascii="Times New Roman" w:hAnsi="Times New Roman" w:cs="Times New Roman"/>
          <w:color w:val="auto"/>
          <w:kern w:val="0"/>
          <w:sz w:val="32"/>
          <w:szCs w:val="32"/>
          <w:lang w:val="en-US" w:eastAsia="zh-CN" w:bidi="ar-SA"/>
        </w:rPr>
        <w:t>244.58</w:t>
      </w:r>
      <w:r>
        <w:rPr>
          <w:rFonts w:hint="eastAsia" w:ascii="Times New Roman" w:hAnsi="Times New Roman" w:eastAsia="仿宋_GB2312" w:cs="Times New Roman"/>
          <w:color w:val="auto"/>
          <w:kern w:val="0"/>
          <w:sz w:val="32"/>
          <w:szCs w:val="32"/>
          <w:lang w:val="en-US" w:eastAsia="zh-CN"/>
        </w:rPr>
        <w:t>万元，年末结转和结余</w:t>
      </w:r>
      <w:r>
        <w:rPr>
          <w:rFonts w:hint="eastAsia" w:cs="Times New Roman"/>
          <w:color w:val="auto"/>
          <w:kern w:val="0"/>
          <w:sz w:val="32"/>
          <w:szCs w:val="32"/>
          <w:lang w:val="en-US" w:eastAsia="zh-CN"/>
        </w:rPr>
        <w:t>0</w:t>
      </w:r>
      <w:r>
        <w:rPr>
          <w:rFonts w:hint="eastAsia" w:ascii="Times New Roman" w:hAnsi="Times New Roman" w:eastAsia="仿宋_GB2312" w:cs="Times New Roman"/>
          <w:color w:val="auto"/>
          <w:kern w:val="0"/>
          <w:sz w:val="32"/>
          <w:szCs w:val="32"/>
          <w:lang w:val="en-US" w:eastAsia="zh-CN"/>
        </w:rPr>
        <w:t>万元。</w:t>
      </w:r>
    </w:p>
    <w:p w14:paraId="7D4AFFF0">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firstLine="0" w:firstLineChars="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国有资本经营预算支出情况</w:t>
      </w:r>
    </w:p>
    <w:p w14:paraId="08038257">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Chars="0" w:right="0" w:rightChars="0" w:firstLine="640" w:firstLineChars="200"/>
        <w:textAlignment w:val="auto"/>
        <w:rPr>
          <w:rFonts w:hint="default" w:ascii="仿宋" w:hAnsi="仿宋" w:eastAsia="仿宋" w:cs="仿宋"/>
          <w:color w:val="000000"/>
          <w:kern w:val="2"/>
          <w:sz w:val="30"/>
          <w:szCs w:val="30"/>
          <w:lang w:val="en-US" w:eastAsia="zh-CN" w:bidi="ar-SA"/>
        </w:rPr>
      </w:pPr>
      <w:r>
        <w:rPr>
          <w:rFonts w:hint="eastAsia" w:ascii="Times New Roman" w:hAnsi="Times New Roman" w:eastAsia="仿宋_GB2312" w:cs="Times New Roman"/>
          <w:color w:val="auto"/>
          <w:kern w:val="0"/>
          <w:sz w:val="32"/>
          <w:szCs w:val="32"/>
          <w:lang w:val="en-US" w:eastAsia="zh-CN"/>
        </w:rPr>
        <w:t>农水局</w:t>
      </w:r>
      <w:r>
        <w:rPr>
          <w:rFonts w:hint="eastAsia" w:ascii="Times New Roman" w:hAnsi="Times New Roman" w:cs="Times New Roman"/>
          <w:color w:val="auto"/>
          <w:kern w:val="0"/>
          <w:sz w:val="32"/>
          <w:szCs w:val="32"/>
          <w:lang w:val="en-US" w:eastAsia="zh-CN" w:bidi="ar-SA"/>
        </w:rPr>
        <w:t>2023年无</w:t>
      </w:r>
      <w:r>
        <w:rPr>
          <w:rFonts w:hint="eastAsia" w:ascii="Times New Roman" w:hAnsi="Times New Roman" w:eastAsia="仿宋_GB2312" w:cs="Times New Roman"/>
          <w:color w:val="auto"/>
          <w:kern w:val="0"/>
          <w:sz w:val="32"/>
          <w:szCs w:val="32"/>
          <w:lang w:val="en-US" w:eastAsia="zh-CN" w:bidi="ar-SA"/>
        </w:rPr>
        <w:t>国有资本经营的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bidi="ar-SA"/>
        </w:rPr>
        <w:t>。</w:t>
      </w:r>
    </w:p>
    <w:p w14:paraId="088333F6">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firstLine="0" w:firstLineChars="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社会保险基金预算支出情况</w:t>
      </w:r>
    </w:p>
    <w:p w14:paraId="18655655">
      <w:pPr>
        <w:pStyle w:val="7"/>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仿宋" w:hAnsi="仿宋" w:eastAsia="仿宋" w:cs="仿宋"/>
          <w:color w:val="000000"/>
          <w:kern w:val="2"/>
          <w:sz w:val="30"/>
          <w:szCs w:val="30"/>
          <w:lang w:val="en-US" w:eastAsia="zh-CN" w:bidi="ar-SA"/>
        </w:rPr>
      </w:pPr>
      <w:r>
        <w:rPr>
          <w:rFonts w:hint="eastAsia" w:ascii="Times New Roman" w:hAnsi="Times New Roman" w:eastAsia="仿宋_GB2312" w:cs="Times New Roman"/>
          <w:color w:val="auto"/>
          <w:kern w:val="0"/>
          <w:sz w:val="32"/>
          <w:szCs w:val="32"/>
          <w:lang w:val="en-US" w:eastAsia="zh-CN"/>
        </w:rPr>
        <w:t>农水局</w:t>
      </w:r>
      <w:r>
        <w:rPr>
          <w:rFonts w:hint="eastAsia" w:ascii="Times New Roman" w:hAnsi="Times New Roman" w:eastAsia="仿宋_GB2312" w:cs="Times New Roman"/>
          <w:color w:val="auto"/>
          <w:kern w:val="0"/>
          <w:sz w:val="32"/>
          <w:szCs w:val="32"/>
          <w:lang w:val="en-US" w:eastAsia="zh-CN" w:bidi="ar-SA"/>
        </w:rPr>
        <w:t>单位社会保险基金的</w:t>
      </w:r>
      <w:r>
        <w:rPr>
          <w:rFonts w:hint="eastAsia" w:ascii="Times New Roman" w:hAnsi="Times New Roman" w:cs="Times New Roman"/>
          <w:color w:val="auto"/>
          <w:kern w:val="0"/>
          <w:sz w:val="32"/>
          <w:szCs w:val="32"/>
          <w:lang w:val="en-US" w:eastAsia="zh-CN" w:bidi="ar-SA"/>
        </w:rPr>
        <w:t>资金</w:t>
      </w:r>
      <w:r>
        <w:rPr>
          <w:rFonts w:hint="eastAsia" w:ascii="Times New Roman" w:hAnsi="Times New Roman" w:eastAsia="仿宋_GB2312" w:cs="Times New Roman"/>
          <w:color w:val="auto"/>
          <w:kern w:val="0"/>
          <w:sz w:val="32"/>
          <w:szCs w:val="32"/>
          <w:lang w:val="en-US" w:eastAsia="zh-CN"/>
        </w:rPr>
        <w:t>本年收入</w:t>
      </w:r>
      <w:r>
        <w:rPr>
          <w:rFonts w:hint="eastAsia" w:ascii="Times New Roman" w:hAnsi="Times New Roman" w:cs="Times New Roman"/>
          <w:color w:val="auto"/>
          <w:kern w:val="0"/>
          <w:sz w:val="32"/>
          <w:szCs w:val="32"/>
          <w:lang w:val="en-US" w:eastAsia="zh-CN" w:bidi="ar-SA"/>
        </w:rPr>
        <w:t>206</w:t>
      </w:r>
      <w:r>
        <w:rPr>
          <w:rFonts w:hint="eastAsia" w:ascii="Times New Roman" w:hAnsi="Times New Roman" w:eastAsia="仿宋_GB2312" w:cs="Times New Roman"/>
          <w:color w:val="auto"/>
          <w:kern w:val="0"/>
          <w:sz w:val="32"/>
          <w:szCs w:val="32"/>
          <w:lang w:val="en-US" w:eastAsia="zh-CN"/>
        </w:rPr>
        <w:t>万元，本年支出</w:t>
      </w:r>
      <w:r>
        <w:rPr>
          <w:rFonts w:hint="eastAsia" w:ascii="Times New Roman" w:hAnsi="Times New Roman" w:cs="Times New Roman"/>
          <w:color w:val="auto"/>
          <w:kern w:val="0"/>
          <w:sz w:val="32"/>
          <w:szCs w:val="32"/>
          <w:lang w:val="en-US" w:eastAsia="zh-CN" w:bidi="ar-SA"/>
        </w:rPr>
        <w:t>206</w:t>
      </w:r>
      <w:r>
        <w:rPr>
          <w:rFonts w:hint="eastAsia" w:ascii="Times New Roman" w:hAnsi="Times New Roman" w:eastAsia="仿宋_GB2312" w:cs="Times New Roman"/>
          <w:color w:val="auto"/>
          <w:kern w:val="0"/>
          <w:sz w:val="32"/>
          <w:szCs w:val="32"/>
          <w:lang w:val="en-US" w:eastAsia="zh-CN"/>
        </w:rPr>
        <w:t>万元，年末结转和结余</w:t>
      </w:r>
      <w:r>
        <w:rPr>
          <w:rFonts w:hint="eastAsia" w:cs="Times New Roman"/>
          <w:color w:val="auto"/>
          <w:kern w:val="0"/>
          <w:sz w:val="32"/>
          <w:szCs w:val="32"/>
          <w:lang w:val="en-US" w:eastAsia="zh-CN"/>
        </w:rPr>
        <w:t>0</w:t>
      </w:r>
      <w:r>
        <w:rPr>
          <w:rFonts w:hint="eastAsia" w:ascii="Times New Roman" w:hAnsi="Times New Roman" w:eastAsia="仿宋_GB2312" w:cs="Times New Roman"/>
          <w:color w:val="auto"/>
          <w:kern w:val="0"/>
          <w:sz w:val="32"/>
          <w:szCs w:val="32"/>
          <w:lang w:val="en-US" w:eastAsia="zh-CN"/>
        </w:rPr>
        <w:t>万元。</w:t>
      </w:r>
    </w:p>
    <w:p w14:paraId="1B41F00C">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leftChars="0" w:right="0" w:firstLine="0" w:firstLineChars="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部门整体支出绩效情况</w:t>
      </w:r>
    </w:p>
    <w:p w14:paraId="2B815A77">
      <w:pPr>
        <w:pStyle w:val="7"/>
        <w:keepNext w:val="0"/>
        <w:keepLines w:val="0"/>
        <w:pageBreakBefore w:val="0"/>
        <w:widowControl/>
        <w:numPr>
          <w:ilvl w:val="0"/>
          <w:numId w:val="2"/>
        </w:numPr>
        <w:kinsoku/>
        <w:wordWrap/>
        <w:overflowPunct/>
        <w:topLinePunct w:val="0"/>
        <w:autoSpaceDE/>
        <w:autoSpaceDN/>
        <w:bidi w:val="0"/>
        <w:adjustRightInd/>
        <w:snapToGrid/>
        <w:spacing w:line="560" w:lineRule="exact"/>
        <w:jc w:val="left"/>
        <w:textAlignment w:val="auto"/>
        <w:rPr>
          <w:rFonts w:hint="eastAsia" w:ascii="Times New Roman" w:hAnsi="Times New Roman" w:cs="Times New Roman"/>
          <w:color w:val="auto"/>
          <w:kern w:val="0"/>
          <w:sz w:val="32"/>
          <w:szCs w:val="32"/>
          <w:lang w:val="en-US" w:eastAsia="zh-CN" w:bidi="ar-SA"/>
        </w:rPr>
      </w:pPr>
      <w:r>
        <w:rPr>
          <w:rFonts w:hint="eastAsia" w:ascii="Times New Roman" w:hAnsi="Times New Roman" w:cs="Times New Roman"/>
          <w:color w:val="auto"/>
          <w:kern w:val="0"/>
          <w:sz w:val="32"/>
          <w:szCs w:val="32"/>
          <w:lang w:val="en-US" w:eastAsia="zh-CN" w:bidi="ar-SA"/>
        </w:rPr>
        <w:t>绩效管理工作开展情况</w:t>
      </w:r>
    </w:p>
    <w:p w14:paraId="32365B11">
      <w:pPr>
        <w:pStyle w:val="7"/>
        <w:keepNext w:val="0"/>
        <w:keepLines w:val="0"/>
        <w:pageBreakBefore w:val="0"/>
        <w:widowControl/>
        <w:numPr>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Times New Roman" w:hAnsi="Times New Roman" w:cs="Times New Roman"/>
          <w:color w:val="auto"/>
          <w:kern w:val="0"/>
          <w:sz w:val="32"/>
          <w:szCs w:val="32"/>
          <w:lang w:val="en-US" w:eastAsia="zh-CN" w:bidi="ar-SA"/>
        </w:rPr>
      </w:pPr>
      <w:r>
        <w:rPr>
          <w:rFonts w:hint="eastAsia" w:ascii="Times New Roman" w:hAnsi="Times New Roman" w:cs="Times New Roman"/>
          <w:color w:val="auto"/>
          <w:kern w:val="0"/>
          <w:sz w:val="32"/>
          <w:szCs w:val="32"/>
          <w:lang w:val="en-US" w:eastAsia="zh-CN" w:bidi="ar-SA"/>
        </w:rPr>
        <w:t>1.稳定粮食生产面积和产量。2.壮大农业优势特色产业。3.扎实推进水利基础设施建设，全面推进河长制工作落地见效。</w:t>
      </w:r>
    </w:p>
    <w:p w14:paraId="4FA6B118">
      <w:pPr>
        <w:pStyle w:val="7"/>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楷体_GB2312" w:eastAsia="楷体_GB2312" w:cs="楷体_GB2312"/>
          <w:i w:val="0"/>
          <w:iCs w:val="0"/>
          <w:caps w:val="0"/>
          <w:color w:val="000000"/>
          <w:spacing w:val="0"/>
          <w:sz w:val="32"/>
          <w:szCs w:val="32"/>
          <w:shd w:val="clear" w:fill="FFFFFF"/>
        </w:rPr>
      </w:pPr>
      <w:r>
        <w:rPr>
          <w:rFonts w:hint="default" w:ascii="楷体_GB2312" w:eastAsia="楷体_GB2312" w:cs="楷体_GB2312"/>
          <w:i w:val="0"/>
          <w:iCs w:val="0"/>
          <w:caps w:val="0"/>
          <w:color w:val="000000"/>
          <w:spacing w:val="0"/>
          <w:sz w:val="32"/>
          <w:szCs w:val="32"/>
          <w:shd w:val="clear" w:fill="FFFFFF"/>
        </w:rPr>
        <w:t>（二）评价指标分析（或综合评价情况）。</w:t>
      </w:r>
    </w:p>
    <w:p w14:paraId="4A0997B9">
      <w:pPr>
        <w:spacing w:line="560" w:lineRule="exact"/>
        <w:ind w:firstLine="643" w:firstLineChars="200"/>
        <w:rPr>
          <w:rFonts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1.</w:t>
      </w:r>
      <w:r>
        <w:rPr>
          <w:rFonts w:hint="eastAsia" w:ascii="楷体" w:hAnsi="楷体" w:eastAsia="楷体"/>
          <w:b/>
          <w:sz w:val="32"/>
          <w:szCs w:val="32"/>
        </w:rPr>
        <w:t>聚焦“稳产保供”，粮食安全责任扛得更牢。</w:t>
      </w:r>
      <w:r>
        <w:rPr>
          <w:rFonts w:hint="eastAsia" w:ascii="仿宋" w:hAnsi="仿宋" w:eastAsia="仿宋"/>
          <w:color w:val="000000" w:themeColor="text1"/>
          <w:sz w:val="32"/>
          <w:szCs w:val="32"/>
          <w14:textFill>
            <w14:solidFill>
              <w14:schemeClr w14:val="tx1"/>
            </w14:solidFill>
          </w14:textFill>
        </w:rPr>
        <w:t>完成粮食播种任务23.18万亩，</w:t>
      </w:r>
      <w:r>
        <w:rPr>
          <w:rFonts w:hint="eastAsia" w:ascii="仿宋" w:hAnsi="仿宋" w:eastAsia="仿宋" w:cs="仿宋"/>
          <w:sz w:val="32"/>
          <w:szCs w:val="32"/>
        </w:rPr>
        <w:t>粮食总产量8.</w:t>
      </w:r>
      <w:r>
        <w:rPr>
          <w:rFonts w:ascii="仿宋" w:hAnsi="仿宋" w:eastAsia="仿宋" w:cs="仿宋"/>
          <w:sz w:val="32"/>
          <w:szCs w:val="32"/>
        </w:rPr>
        <w:t>7</w:t>
      </w:r>
      <w:r>
        <w:rPr>
          <w:rFonts w:hint="eastAsia" w:ascii="仿宋" w:hAnsi="仿宋" w:eastAsia="仿宋" w:cs="仿宋"/>
          <w:sz w:val="32"/>
          <w:szCs w:val="32"/>
        </w:rPr>
        <w:t>万吨，同比增长0.08%；油料种植面积4.6万亩</w:t>
      </w:r>
      <w:bookmarkStart w:id="0" w:name="_GoBack"/>
      <w:bookmarkEnd w:id="0"/>
      <w:r>
        <w:rPr>
          <w:rFonts w:hint="eastAsia" w:ascii="仿宋" w:hAnsi="仿宋" w:eastAsia="仿宋" w:cs="仿宋"/>
          <w:sz w:val="32"/>
          <w:szCs w:val="32"/>
        </w:rPr>
        <w:t>，同比增长2.19%；</w:t>
      </w:r>
      <w:r>
        <w:rPr>
          <w:rFonts w:hint="eastAsia" w:ascii="仿宋" w:hAnsi="仿宋" w:eastAsia="仿宋" w:cs="仿宋"/>
          <w:color w:val="000000" w:themeColor="text1"/>
          <w:spacing w:val="1"/>
          <w:sz w:val="32"/>
          <w:szCs w:val="32"/>
          <w14:textFill>
            <w14:solidFill>
              <w14:schemeClr w14:val="tx1"/>
            </w14:solidFill>
          </w14:textFill>
        </w:rPr>
        <w:t>完成粮食生产4个县级五千亩示范片和2个县级玉米大豆带状复合种植示范片建设。</w:t>
      </w:r>
      <w:r>
        <w:rPr>
          <w:rFonts w:hint="eastAsia" w:ascii="仿宋" w:hAnsi="仿宋" w:eastAsia="仿宋"/>
          <w:sz w:val="32"/>
          <w:szCs w:val="32"/>
        </w:rPr>
        <w:t>全年完成受污染耕地安全和严格管控任务1.33万亩，轻中度污染耕地安全利用面积1.23万亩，重度污染耕地严格管控区0.1万亩，安全利用率91%以上。推广配方肥3</w:t>
      </w:r>
      <w:r>
        <w:rPr>
          <w:rFonts w:ascii="仿宋" w:hAnsi="仿宋" w:eastAsia="仿宋"/>
          <w:sz w:val="32"/>
          <w:szCs w:val="32"/>
        </w:rPr>
        <w:t>975</w:t>
      </w:r>
      <w:r>
        <w:rPr>
          <w:rFonts w:hint="eastAsia" w:ascii="仿宋" w:hAnsi="仿宋" w:eastAsia="仿宋"/>
          <w:sz w:val="32"/>
          <w:szCs w:val="32"/>
        </w:rPr>
        <w:t>吨，技术推广面积</w:t>
      </w:r>
      <w:r>
        <w:rPr>
          <w:rFonts w:ascii="仿宋" w:hAnsi="仿宋" w:eastAsia="仿宋"/>
          <w:sz w:val="32"/>
          <w:szCs w:val="32"/>
        </w:rPr>
        <w:t>3</w:t>
      </w:r>
      <w:r>
        <w:rPr>
          <w:rFonts w:hint="eastAsia" w:ascii="仿宋" w:hAnsi="仿宋" w:eastAsia="仿宋"/>
          <w:sz w:val="32"/>
          <w:szCs w:val="32"/>
        </w:rPr>
        <w:t>6</w:t>
      </w:r>
      <w:r>
        <w:rPr>
          <w:rFonts w:ascii="仿宋" w:hAnsi="仿宋" w:eastAsia="仿宋"/>
          <w:sz w:val="32"/>
          <w:szCs w:val="32"/>
        </w:rPr>
        <w:t>.35</w:t>
      </w:r>
      <w:r>
        <w:rPr>
          <w:rFonts w:hint="eastAsia" w:ascii="仿宋" w:hAnsi="仿宋" w:eastAsia="仿宋"/>
          <w:sz w:val="32"/>
          <w:szCs w:val="32"/>
        </w:rPr>
        <w:t>万亩；</w:t>
      </w:r>
      <w:r>
        <w:rPr>
          <w:rFonts w:hint="eastAsia" w:ascii="仿宋" w:hAnsi="仿宋" w:eastAsia="仿宋"/>
          <w:color w:val="000000" w:themeColor="text1"/>
          <w:sz w:val="32"/>
          <w:szCs w:val="32"/>
          <w14:textFill>
            <w14:solidFill>
              <w14:schemeClr w14:val="tx1"/>
            </w14:solidFill>
          </w14:textFill>
        </w:rPr>
        <w:t>受污染耕地安全利用率达到95.41%，</w:t>
      </w:r>
      <w:r>
        <w:rPr>
          <w:rFonts w:hint="eastAsia" w:ascii="仿宋" w:hAnsi="仿宋" w:eastAsia="仿宋" w:cs="仿宋"/>
          <w:sz w:val="32"/>
          <w:szCs w:val="32"/>
          <w:shd w:val="clear" w:color="auto" w:fill="FFFFFF"/>
        </w:rPr>
        <w:t>扎实开展第三次全国土壤普查。</w:t>
      </w:r>
      <w:r>
        <w:rPr>
          <w:rFonts w:hint="eastAsia" w:ascii="仿宋" w:hAnsi="仿宋" w:eastAsia="仿宋" w:cs="仿宋"/>
          <w:color w:val="000000" w:themeColor="text1"/>
          <w:sz w:val="32"/>
          <w:szCs w:val="32"/>
          <w:shd w:val="clear" w:color="auto" w:fill="FFFFFF"/>
          <w14:textFill>
            <w14:solidFill>
              <w14:schemeClr w14:val="tx1"/>
            </w14:solidFill>
          </w14:textFill>
        </w:rPr>
        <w:t>全面推进2023年1.49万亩</w:t>
      </w:r>
      <w:r>
        <w:rPr>
          <w:rFonts w:ascii="仿宋" w:hAnsi="仿宋" w:eastAsia="仿宋" w:cs="仿宋"/>
          <w:color w:val="000000" w:themeColor="text1"/>
          <w:sz w:val="32"/>
          <w:szCs w:val="32"/>
          <w:shd w:val="clear" w:color="auto" w:fill="FFFFFF"/>
          <w14:textFill>
            <w14:solidFill>
              <w14:schemeClr w14:val="tx1"/>
            </w14:solidFill>
          </w14:textFill>
        </w:rPr>
        <w:t>高标准农田建设</w:t>
      </w:r>
      <w:r>
        <w:rPr>
          <w:rFonts w:hint="eastAsia" w:ascii="仿宋" w:hAnsi="仿宋" w:eastAsia="仿宋" w:cs="仿宋"/>
          <w:color w:val="000000" w:themeColor="text1"/>
          <w:sz w:val="32"/>
          <w:szCs w:val="32"/>
          <w:shd w:val="clear" w:color="auto" w:fill="FFFFFF"/>
          <w14:textFill>
            <w14:solidFill>
              <w14:schemeClr w14:val="tx1"/>
            </w14:solidFill>
          </w14:textFill>
        </w:rPr>
        <w:t>，落实投融资面积4400亩，</w:t>
      </w:r>
      <w:r>
        <w:rPr>
          <w:rFonts w:hint="eastAsia" w:ascii="仿宋" w:hAnsi="仿宋" w:eastAsia="仿宋" w:cs="仿宋"/>
          <w:sz w:val="32"/>
          <w:szCs w:val="32"/>
          <w:shd w:val="clear" w:color="auto" w:fill="FFFFFF"/>
        </w:rPr>
        <w:t>投贷联动投融</w:t>
      </w:r>
      <w:r>
        <w:rPr>
          <w:rFonts w:hint="eastAsia" w:ascii="仿宋" w:hAnsi="仿宋" w:eastAsia="仿宋" w:cs="仿宋"/>
          <w:sz w:val="32"/>
          <w:szCs w:val="32"/>
        </w:rPr>
        <w:t>资金额1503.45万元，</w:t>
      </w:r>
      <w:r>
        <w:rPr>
          <w:rFonts w:hint="eastAsia" w:ascii="仿宋" w:hAnsi="仿宋" w:eastAsia="仿宋" w:cs="仿宋"/>
          <w:sz w:val="32"/>
          <w:szCs w:val="32"/>
          <w:shd w:val="clear" w:color="auto" w:fill="FFFFFF"/>
        </w:rPr>
        <w:t>打造了12个高标准农田建设示范区。</w:t>
      </w:r>
    </w:p>
    <w:p w14:paraId="4A6067E5">
      <w:pPr>
        <w:widowControl/>
        <w:spacing w:line="560" w:lineRule="exact"/>
        <w:ind w:firstLine="643" w:firstLineChars="200"/>
        <w:rPr>
          <w:rFonts w:ascii="仿宋" w:hAnsi="仿宋" w:eastAsia="仿宋" w:cs="仿宋"/>
          <w:sz w:val="32"/>
          <w:szCs w:val="32"/>
        </w:rPr>
      </w:pPr>
      <w:r>
        <w:rPr>
          <w:rFonts w:hint="eastAsia" w:ascii="楷体" w:hAnsi="楷体" w:eastAsia="楷体"/>
          <w:b/>
          <w:color w:val="000000" w:themeColor="text1"/>
          <w:sz w:val="32"/>
          <w:szCs w:val="32"/>
          <w14:textFill>
            <w14:solidFill>
              <w14:schemeClr w14:val="tx1"/>
            </w14:solidFill>
          </w14:textFill>
        </w:rPr>
        <w:t>2.</w:t>
      </w:r>
      <w:r>
        <w:rPr>
          <w:rFonts w:hint="eastAsia" w:ascii="楷体" w:hAnsi="楷体" w:eastAsia="楷体"/>
          <w:b/>
          <w:sz w:val="32"/>
          <w:szCs w:val="32"/>
        </w:rPr>
        <w:t>聚焦“做特做精”，农业特色产业更加兴旺。</w:t>
      </w:r>
      <w:r>
        <w:rPr>
          <w:rFonts w:hint="eastAsia" w:ascii="仿宋" w:hAnsi="仿宋" w:eastAsia="仿宋"/>
          <w:color w:val="000000" w:themeColor="text1"/>
          <w:sz w:val="32"/>
          <w:szCs w:val="32"/>
          <w14:textFill>
            <w14:solidFill>
              <w14:schemeClr w14:val="tx1"/>
            </w14:solidFill>
          </w14:textFill>
        </w:rPr>
        <w:t>启动国家级产业强镇二期项目建设，</w:t>
      </w:r>
      <w:r>
        <w:rPr>
          <w:rFonts w:hint="eastAsia" w:ascii="仿宋" w:hAnsi="仿宋" w:eastAsia="仿宋" w:cs="仿宋_GB2312"/>
          <w:color w:val="000000" w:themeColor="text1"/>
          <w:sz w:val="32"/>
          <w:szCs w:val="32"/>
          <w14:textFill>
            <w14:solidFill>
              <w14:schemeClr w14:val="tx1"/>
            </w14:solidFill>
          </w14:textFill>
        </w:rPr>
        <w:t>完成奶业扩能投资5180万元</w:t>
      </w:r>
      <w:r>
        <w:rPr>
          <w:rFonts w:hint="eastAsia" w:asciiTheme="minorEastAsia" w:hAnsiTheme="minorEastAsia"/>
          <w:bCs/>
          <w:kern w:val="44"/>
          <w:sz w:val="30"/>
          <w:szCs w:val="30"/>
        </w:rPr>
        <w:t>，</w:t>
      </w:r>
      <w:r>
        <w:rPr>
          <w:rFonts w:hint="eastAsia" w:ascii="仿宋" w:hAnsi="仿宋" w:eastAsia="仿宋" w:cs="仿宋_GB2312"/>
          <w:color w:val="000000" w:themeColor="text1"/>
          <w:sz w:val="32"/>
          <w:szCs w:val="32"/>
          <w14:textFill>
            <w14:solidFill>
              <w14:schemeClr w14:val="tx1"/>
            </w14:solidFill>
          </w14:textFill>
        </w:rPr>
        <w:t>新建“红美人”柑橘、秋月梨等基地3个，打造了 2 个标准茶园基地和 1 个种苗繁育基地，完成新造油茶6500亩，油茶低改8000亩。新培育规模企业1家，申报省级产业园1家，市级产业化龙头企业4家</w:t>
      </w:r>
      <w:r>
        <w:rPr>
          <w:rFonts w:hint="eastAsia" w:ascii="仿宋" w:hAnsi="仿宋" w:eastAsia="仿宋"/>
          <w:color w:val="000000" w:themeColor="text1"/>
          <w:sz w:val="32"/>
          <w:szCs w:val="32"/>
          <w14:textFill>
            <w14:solidFill>
              <w14:schemeClr w14:val="tx1"/>
            </w14:solidFill>
          </w14:textFill>
        </w:rPr>
        <w:t>，新增省五星级休闲农庄 1 家，新</w:t>
      </w:r>
      <w:r>
        <w:rPr>
          <w:rFonts w:hint="eastAsia" w:ascii="仿宋" w:hAnsi="仿宋" w:eastAsia="仿宋" w:cs="仿宋_GB2312"/>
          <w:color w:val="000000" w:themeColor="text1"/>
          <w:sz w:val="32"/>
          <w:szCs w:val="32"/>
          <w14:textFill>
            <w14:solidFill>
              <w14:schemeClr w14:val="tx1"/>
            </w14:solidFill>
          </w14:textFill>
        </w:rPr>
        <w:t>认定省级生态农庄</w:t>
      </w:r>
      <w:r>
        <w:rPr>
          <w:rFonts w:hint="eastAsia" w:ascii="仿宋" w:hAnsi="仿宋" w:eastAsia="仿宋"/>
          <w:color w:val="000000" w:themeColor="text1"/>
          <w:sz w:val="32"/>
          <w:szCs w:val="32"/>
          <w14:textFill>
            <w14:solidFill>
              <w14:schemeClr w14:val="tx1"/>
            </w14:solidFill>
          </w14:textFill>
        </w:rPr>
        <w:t>2家；新增省级联合体3家。</w:t>
      </w:r>
      <w:r>
        <w:rPr>
          <w:rFonts w:hint="eastAsia" w:ascii="仿宋" w:hAnsi="仿宋" w:eastAsia="仿宋" w:cs="仿宋"/>
          <w:sz w:val="32"/>
          <w:szCs w:val="32"/>
          <w:shd w:val="clear" w:color="auto" w:fill="FFFFFF"/>
        </w:rPr>
        <w:t>实施省巩固拓展产业扶贫成果项目资金350万，支持3个企业和2个合作社发展产业，新增带动帮扶农户4165人，脱贫户4073人，监测户92人。</w:t>
      </w:r>
      <w:r>
        <w:rPr>
          <w:rFonts w:hint="eastAsia" w:ascii="仿宋" w:hAnsi="仿宋" w:eastAsia="仿宋"/>
          <w:color w:val="000000" w:themeColor="text1"/>
          <w:sz w:val="32"/>
          <w:szCs w:val="32"/>
          <w14:textFill>
            <w14:solidFill>
              <w14:schemeClr w14:val="tx1"/>
            </w14:solidFill>
          </w14:textFill>
        </w:rPr>
        <w:t>全县发展高山蔬菜20万亩，</w:t>
      </w:r>
      <w:r>
        <w:rPr>
          <w:rFonts w:hint="eastAsia" w:ascii="仿宋" w:hAnsi="仿宋" w:eastAsia="仿宋" w:cs="仿宋"/>
          <w:sz w:val="32"/>
          <w:szCs w:val="32"/>
        </w:rPr>
        <w:t>同比增长2.56%，</w:t>
      </w:r>
      <w:r>
        <w:rPr>
          <w:rFonts w:hint="eastAsia" w:ascii="仿宋" w:hAnsi="仿宋" w:eastAsia="仿宋" w:cs="仿宋"/>
          <w:color w:val="000000" w:themeColor="text1"/>
          <w:sz w:val="32"/>
          <w:szCs w:val="32"/>
          <w14:textFill>
            <w14:solidFill>
              <w14:schemeClr w14:val="tx1"/>
            </w14:solidFill>
          </w14:textFill>
        </w:rPr>
        <w:t>创建 “菜篮子”基地12个；完成</w:t>
      </w:r>
      <w:r>
        <w:rPr>
          <w:rFonts w:hint="eastAsia" w:ascii="仿宋" w:hAnsi="仿宋" w:eastAsia="仿宋" w:cs="仿宋"/>
          <w:sz w:val="32"/>
          <w:szCs w:val="32"/>
        </w:rPr>
        <w:t>蔬菜产量98673.25吨，同比增长2.24%，水果产量83587吨，同比增长8.1%，肉类总产量 9677 吨，同比增长 2 %；水产品产量 843吨，同比增长2.5%，生猪存栏10.12万头，出栏11.02万头 ，同比增长1.25 %。</w:t>
      </w:r>
    </w:p>
    <w:p w14:paraId="6E65F622">
      <w:pPr>
        <w:widowControl/>
        <w:spacing w:line="560" w:lineRule="exact"/>
        <w:ind w:firstLine="643" w:firstLineChars="200"/>
        <w:rPr>
          <w:rFonts w:ascii="仿宋" w:hAnsi="仿宋" w:eastAsia="仿宋"/>
          <w:sz w:val="32"/>
          <w:szCs w:val="32"/>
        </w:rPr>
      </w:pPr>
      <w:r>
        <w:rPr>
          <w:rFonts w:hint="eastAsia" w:ascii="楷体" w:hAnsi="楷体" w:eastAsia="楷体"/>
          <w:b/>
          <w:sz w:val="32"/>
          <w:szCs w:val="32"/>
        </w:rPr>
        <w:t>3</w:t>
      </w:r>
      <w:r>
        <w:rPr>
          <w:rFonts w:ascii="楷体" w:hAnsi="楷体" w:eastAsia="楷体"/>
          <w:b/>
          <w:sz w:val="32"/>
          <w:szCs w:val="32"/>
        </w:rPr>
        <w:t>.</w:t>
      </w:r>
      <w:r>
        <w:rPr>
          <w:rFonts w:hint="eastAsia" w:ascii="楷体" w:hAnsi="楷体" w:eastAsia="楷体"/>
          <w:b/>
          <w:sz w:val="32"/>
          <w:szCs w:val="32"/>
        </w:rPr>
        <w:t>聚焦“四水同治”，生态水利基础更加坚实。</w:t>
      </w:r>
      <w:r>
        <w:rPr>
          <w:rFonts w:hint="eastAsia" w:ascii="仿宋" w:hAnsi="仿宋" w:eastAsia="仿宋" w:cs="仿宋"/>
          <w:sz w:val="32"/>
          <w:szCs w:val="32"/>
        </w:rPr>
        <w:t>扎实开展民生水利建设，持续打通“中梗阻”。</w:t>
      </w:r>
      <w:r>
        <w:rPr>
          <w:rFonts w:hint="eastAsia" w:ascii="仿宋" w:hAnsi="仿宋" w:eastAsia="仿宋" w:cs="仿宋"/>
          <w:color w:val="000000" w:themeColor="text1"/>
          <w:sz w:val="32"/>
          <w:szCs w:val="32"/>
          <w:shd w:val="clear" w:color="auto" w:fill="FFFFFF"/>
          <w14:textFill>
            <w14:solidFill>
              <w14:schemeClr w14:val="tx1"/>
            </w14:solidFill>
          </w14:textFill>
        </w:rPr>
        <w:t>投资190万元，组织实施完成长岭冲水库除险加固工程；完成西岩镇赧水杨田村河段治理工程项目中央资金868万元招投标；积极抢抓2024年新增中央投资政策项目总计投资5.34亿元。</w:t>
      </w:r>
      <w:r>
        <w:rPr>
          <w:rFonts w:hint="eastAsia" w:ascii="仿宋" w:hAnsi="仿宋" w:eastAsia="仿宋" w:cs="仿宋"/>
          <w:sz w:val="32"/>
          <w:szCs w:val="32"/>
        </w:rPr>
        <w:t>组织实施人安饮水提升乡村振兴指挥部下达项目6处，总投资123万元，省级维修养护补助资金149万元，实施项目13处，</w:t>
      </w:r>
      <w:r>
        <w:rPr>
          <w:rFonts w:hint="eastAsia" w:ascii="仿宋" w:hAnsi="仿宋" w:eastAsia="仿宋" w:cs="仿宋"/>
          <w:color w:val="000000" w:themeColor="text1"/>
          <w:sz w:val="32"/>
          <w:szCs w:val="32"/>
          <w14:textFill>
            <w14:solidFill>
              <w14:schemeClr w14:val="tx1"/>
            </w14:solidFill>
          </w14:textFill>
        </w:rPr>
        <w:t>全县农村人安饮水普及率达到了97.5%。</w:t>
      </w:r>
      <w:r>
        <w:rPr>
          <w:rFonts w:hint="eastAsia" w:ascii="仿宋" w:hAnsi="仿宋" w:eastAsia="仿宋" w:cs="仿宋_GB2312"/>
          <w:color w:val="000000" w:themeColor="text1"/>
          <w:sz w:val="32"/>
          <w:szCs w:val="32"/>
          <w14:textFill>
            <w14:solidFill>
              <w14:schemeClr w14:val="tx1"/>
            </w14:solidFill>
          </w14:textFill>
        </w:rPr>
        <w:t>落实水库防汛四级责任人，执行2</w:t>
      </w:r>
      <w:r>
        <w:rPr>
          <w:rFonts w:ascii="仿宋" w:hAnsi="仿宋" w:eastAsia="仿宋" w:cs="仿宋_GB2312"/>
          <w:color w:val="000000" w:themeColor="text1"/>
          <w:sz w:val="32"/>
          <w:szCs w:val="32"/>
          <w14:textFill>
            <w14:solidFill>
              <w14:schemeClr w14:val="tx1"/>
            </w14:solidFill>
          </w14:textFill>
        </w:rPr>
        <w:t>4</w:t>
      </w:r>
      <w:r>
        <w:rPr>
          <w:rFonts w:hint="eastAsia" w:ascii="仿宋" w:hAnsi="仿宋" w:eastAsia="仿宋" w:cs="仿宋_GB2312"/>
          <w:color w:val="000000" w:themeColor="text1"/>
          <w:sz w:val="32"/>
          <w:szCs w:val="32"/>
          <w14:textFill>
            <w14:solidFill>
              <w14:schemeClr w14:val="tx1"/>
            </w14:solidFill>
          </w14:textFill>
        </w:rPr>
        <w:t>小时防汛抗旱值班制度；完成64个山洪灾害预警平台及雨量站点检查维护；完成4个水土保持项目方案审批。</w:t>
      </w:r>
      <w:r>
        <w:rPr>
          <w:rFonts w:hint="eastAsia" w:ascii="仿宋" w:hAnsi="仿宋" w:eastAsia="仿宋" w:cs="仿宋"/>
          <w:sz w:val="32"/>
          <w:szCs w:val="32"/>
        </w:rPr>
        <w:t>实行县乡村三级“河长+警长+检察长”组织体系，累计巡河2985次；全速推进8处一级医疗机构污水处理设施建设，打造建设“一乡一亮点”样板河12条，“一县一示范”示范河1条；完成水利部推送问题图斑核查781处，</w:t>
      </w:r>
      <w:r>
        <w:rPr>
          <w:rFonts w:hint="eastAsia" w:ascii="仿宋" w:hAnsi="仿宋" w:eastAsia="仿宋"/>
          <w:sz w:val="32"/>
          <w:szCs w:val="32"/>
        </w:rPr>
        <w:t>发表</w:t>
      </w:r>
      <w:r>
        <w:rPr>
          <w:rFonts w:hint="eastAsia" w:ascii="仿宋" w:hAnsi="仿宋" w:eastAsia="仿宋" w:cs="仿宋"/>
          <w:sz w:val="32"/>
          <w:szCs w:val="32"/>
        </w:rPr>
        <w:t>河库宣传报道58篇，</w:t>
      </w:r>
      <w:r>
        <w:rPr>
          <w:rFonts w:hint="eastAsia" w:ascii="仿宋" w:hAnsi="仿宋" w:eastAsia="仿宋"/>
          <w:sz w:val="32"/>
          <w:szCs w:val="32"/>
        </w:rPr>
        <w:t>《湖南城步河长制绘就绿水清流新画卷》被人民网专题推介。</w:t>
      </w:r>
    </w:p>
    <w:p w14:paraId="5A73A83B">
      <w:pPr>
        <w:widowControl/>
        <w:spacing w:line="560" w:lineRule="exact"/>
        <w:ind w:firstLine="643" w:firstLineChars="200"/>
        <w:rPr>
          <w:rFonts w:ascii="仿宋" w:hAnsi="仿宋" w:eastAsia="仿宋" w:cs="仿宋"/>
          <w:color w:val="000000" w:themeColor="text1"/>
          <w:sz w:val="32"/>
          <w:szCs w:val="32"/>
          <w:shd w:val="clear" w:color="auto" w:fill="FFFFFF"/>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4.聚焦“改善民生”，三农服务情怀更加厚重。</w:t>
      </w:r>
      <w:r>
        <w:rPr>
          <w:rFonts w:hint="eastAsia" w:ascii="仿宋" w:hAnsi="仿宋" w:eastAsia="仿宋" w:cs="仿宋_GB2312"/>
          <w:color w:val="000000" w:themeColor="text1"/>
          <w:sz w:val="32"/>
          <w:szCs w:val="32"/>
          <w14:textFill>
            <w14:solidFill>
              <w14:schemeClr w14:val="tx1"/>
            </w14:solidFill>
          </w14:textFill>
        </w:rPr>
        <w:t>全力保障人民群众“舌尖上的安全”。指导开具“承诺达标合格证”115989张，附带合格证上市农产品1186.5吨；完成食用农产品抽样检测8532批次，合格8532批次。续展有机食品认证4个，全县“三品一标”绿色有机地标产品增至31个。积极推介“苗特品”。申报城步中蜂产品纳入特优新全国农产品目录，申报3家企业共5个产品成功加入“邵阳红”优质农产品公共品品牌。加强新型农业经营主</w:t>
      </w:r>
      <w:r>
        <w:rPr>
          <w:rFonts w:ascii="仿宋" w:hAnsi="仿宋" w:eastAsia="仿宋" w:cs="仿宋_GB2312"/>
          <w:color w:val="000000" w:themeColor="text1"/>
          <w:sz w:val="32"/>
          <w:szCs w:val="32"/>
          <w14:textFill>
            <w14:solidFill>
              <w14:schemeClr w14:val="tx1"/>
            </w14:solidFill>
          </w14:textFill>
        </w:rPr>
        <w:t>体先进适用农业技术培训推广，</w:t>
      </w:r>
      <w:r>
        <w:rPr>
          <w:rFonts w:hint="eastAsia" w:ascii="仿宋" w:hAnsi="仿宋" w:eastAsia="仿宋" w:cs="仿宋"/>
          <w:color w:val="000000" w:themeColor="text1"/>
          <w:sz w:val="32"/>
          <w:szCs w:val="32"/>
          <w14:textFill>
            <w14:solidFill>
              <w14:schemeClr w14:val="tx1"/>
            </w14:solidFill>
          </w14:textFill>
        </w:rPr>
        <w:t>培训指导服务</w:t>
      </w:r>
      <w:r>
        <w:rPr>
          <w:rFonts w:ascii="仿宋" w:hAnsi="仿宋" w:eastAsia="仿宋" w:cs="仿宋"/>
          <w:color w:val="000000" w:themeColor="text1"/>
          <w:sz w:val="32"/>
          <w:szCs w:val="32"/>
          <w14:textFill>
            <w14:solidFill>
              <w14:schemeClr w14:val="tx1"/>
            </w14:solidFill>
          </w14:textFill>
        </w:rPr>
        <w:t>2</w:t>
      </w:r>
      <w:r>
        <w:rPr>
          <w:rFonts w:hint="eastAsia" w:ascii="仿宋" w:hAnsi="仿宋" w:eastAsia="仿宋" w:cs="仿宋"/>
          <w:color w:val="000000" w:themeColor="text1"/>
          <w:sz w:val="32"/>
          <w:szCs w:val="32"/>
          <w14:textFill>
            <w14:solidFill>
              <w14:schemeClr w14:val="tx1"/>
            </w14:solidFill>
          </w14:textFill>
        </w:rPr>
        <w:t>3余次，授课20余堂，培训农民1600人，全面发展</w:t>
      </w:r>
      <w:r>
        <w:rPr>
          <w:rFonts w:ascii="仿宋" w:hAnsi="仿宋" w:eastAsia="仿宋" w:cs="仿宋"/>
          <w:color w:val="000000" w:themeColor="text1"/>
          <w:sz w:val="32"/>
          <w:szCs w:val="32"/>
          <w14:textFill>
            <w14:solidFill>
              <w14:schemeClr w14:val="tx1"/>
            </w14:solidFill>
          </w14:textFill>
        </w:rPr>
        <w:t>壮大“土专家”“田秀才”队伍</w:t>
      </w:r>
      <w:r>
        <w:rPr>
          <w:rFonts w:hint="eastAsia" w:ascii="仿宋" w:hAnsi="仿宋" w:eastAsia="仿宋" w:cs="仿宋"/>
          <w:color w:val="000000" w:themeColor="text1"/>
          <w:sz w:val="32"/>
          <w:szCs w:val="32"/>
          <w14:textFill>
            <w14:solidFill>
              <w14:schemeClr w14:val="tx1"/>
            </w14:solidFill>
          </w14:textFill>
        </w:rPr>
        <w:t>。</w:t>
      </w:r>
      <w:r>
        <w:rPr>
          <w:rFonts w:hint="eastAsia" w:ascii="仿宋" w:hAnsi="仿宋" w:eastAsia="仿宋" w:cs="仿宋_GB2312"/>
          <w:color w:val="000000" w:themeColor="text1"/>
          <w:sz w:val="32"/>
          <w:szCs w:val="32"/>
          <w14:textFill>
            <w14:solidFill>
              <w14:schemeClr w14:val="tx1"/>
            </w14:solidFill>
          </w14:textFill>
        </w:rPr>
        <w:t>夯实统防“绿色墙”，</w:t>
      </w:r>
      <w:r>
        <w:rPr>
          <w:rFonts w:hint="eastAsia" w:ascii="仿宋" w:hAnsi="仿宋" w:eastAsia="仿宋" w:cs="仿宋"/>
          <w:sz w:val="32"/>
          <w:szCs w:val="32"/>
        </w:rPr>
        <w:t>抓实农作物大面积病虫防治指导，病虫害防治处置率达95%，全年完成防统治面积20.93万亩，</w:t>
      </w:r>
      <w:r>
        <w:rPr>
          <w:rFonts w:hint="eastAsia" w:ascii="仿宋" w:hAnsi="仿宋" w:eastAsia="仿宋" w:cs="仿宋"/>
          <w:color w:val="000000" w:themeColor="text1"/>
          <w:sz w:val="32"/>
          <w:szCs w:val="32"/>
          <w14:textFill>
            <w14:solidFill>
              <w14:schemeClr w14:val="tx1"/>
            </w14:solidFill>
          </w14:textFill>
        </w:rPr>
        <w:t>发布病虫情报12期，印发病虫情报33000份，病虫情报进村率达100%。</w:t>
      </w:r>
      <w:r>
        <w:rPr>
          <w:rFonts w:hint="eastAsia" w:ascii="仿宋" w:hAnsi="仿宋" w:eastAsia="仿宋" w:cs="仿宋"/>
          <w:sz w:val="32"/>
          <w:szCs w:val="32"/>
        </w:rPr>
        <w:t>扎实推进“执法严”，</w:t>
      </w:r>
      <w:r>
        <w:rPr>
          <w:rFonts w:hint="eastAsia" w:ascii="仿宋" w:hAnsi="仿宋" w:eastAsia="仿宋" w:cs="仿宋"/>
          <w:color w:val="000000" w:themeColor="text1"/>
          <w:sz w:val="32"/>
          <w:szCs w:val="32"/>
          <w14:textFill>
            <w14:solidFill>
              <w14:schemeClr w14:val="tx1"/>
            </w14:solidFill>
          </w14:textFill>
        </w:rPr>
        <w:t>全年</w:t>
      </w:r>
      <w:r>
        <w:rPr>
          <w:rFonts w:hint="eastAsia" w:ascii="仿宋" w:hAnsi="仿宋" w:eastAsia="仿宋"/>
          <w:color w:val="000000" w:themeColor="text1"/>
          <w:sz w:val="32"/>
          <w:szCs w:val="32"/>
          <w14:textFill>
            <w14:solidFill>
              <w14:schemeClr w14:val="tx1"/>
            </w14:solidFill>
          </w14:textFill>
        </w:rPr>
        <w:t>出动执法人员264人次，检查农资经营门店180余家，检查农资产品3060个。聚焦“禁捕退捕”重点水域，</w:t>
      </w:r>
      <w:r>
        <w:rPr>
          <w:rFonts w:hint="eastAsia" w:ascii="仿宋" w:hAnsi="仿宋" w:eastAsia="仿宋" w:cs="仿宋"/>
          <w:color w:val="000000" w:themeColor="text1"/>
          <w:sz w:val="32"/>
          <w:szCs w:val="32"/>
          <w:shd w:val="clear" w:color="auto" w:fill="FFFFFF"/>
          <w14:textFill>
            <w14:solidFill>
              <w14:schemeClr w14:val="tx1"/>
            </w14:solidFill>
          </w14:textFill>
        </w:rPr>
        <w:t>出动执法人员548人次、立案查处非法捕捞案件6起。</w:t>
      </w:r>
    </w:p>
    <w:p w14:paraId="542A0FE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七、存在的问题及原因分析</w:t>
      </w:r>
    </w:p>
    <w:p w14:paraId="21038FDA">
      <w:pPr>
        <w:widowControl/>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1、财政资金支出进度慢，财政拨付资金没有及时到位，一些项目无法实施或虽已实施但进度缓慢；</w:t>
      </w:r>
    </w:p>
    <w:p w14:paraId="6B853D54">
      <w:pPr>
        <w:widowControl/>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2、我县年初预算主要是对我单位人员经费以及公用经费进行预算，加上一些常规项目工作经费，因预算的控制因素，导致有些正常业务工作经费没有纳入预算，从而影响绩效的目标完成。</w:t>
      </w:r>
    </w:p>
    <w:p w14:paraId="478350F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shd w:val="clear" w:fill="FFFFFF"/>
        </w:rPr>
      </w:pPr>
      <w:r>
        <w:rPr>
          <w:rFonts w:hint="eastAsia" w:ascii="黑体" w:hAnsi="黑体" w:eastAsia="黑体" w:cs="黑体"/>
          <w:i w:val="0"/>
          <w:iCs w:val="0"/>
          <w:caps w:val="0"/>
          <w:color w:val="000000"/>
          <w:spacing w:val="0"/>
          <w:sz w:val="32"/>
          <w:szCs w:val="32"/>
          <w:shd w:val="clear" w:fill="FFFFFF"/>
        </w:rPr>
        <w:t>八、下一步改进措施</w:t>
      </w:r>
    </w:p>
    <w:p w14:paraId="7861D9BB">
      <w:pPr>
        <w:widowControl/>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1、提高预算资金拨付力度，使项目资金能及时到位，项目能及时实施；</w:t>
      </w:r>
    </w:p>
    <w:p w14:paraId="78ADDCD1">
      <w:pPr>
        <w:widowControl/>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2、落实资金使用责任制，项目实施单位要定期通报资金使用进度，定期分析资金使用缓慢原因，采取措施加快资金使用进度；</w:t>
      </w:r>
    </w:p>
    <w:p w14:paraId="73F620F1">
      <w:pPr>
        <w:widowControl/>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加强财会人员业务学习和培训力度。加强财会人员职业道德教育，努力提高财会人员业务水平。对财会人员采取学历教育、专题自学、定点培训等多种学习方式，更加系统地学习行政事业单位会计制度和财务规则，不断提高财务工作能力。</w:t>
      </w:r>
    </w:p>
    <w:p w14:paraId="09D9FEE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rPr>
        <w:t>九、其他需要说明的情况</w:t>
      </w:r>
    </w:p>
    <w:p w14:paraId="39721779">
      <w:pPr>
        <w:pStyle w:val="8"/>
        <w:spacing w:before="0" w:beforeAutospacing="0" w:after="0" w:afterAutospacing="0"/>
        <w:ind w:firstLine="600" w:firstLineChars="200"/>
        <w:jc w:val="both"/>
        <w:rPr>
          <w:rFonts w:hint="eastAsia" w:ascii="宋体" w:hAnsi="宋体" w:eastAsia="宋体" w:cs="宋体"/>
          <w:bCs/>
          <w:kern w:val="2"/>
          <w:sz w:val="30"/>
          <w:szCs w:val="30"/>
          <w:lang w:val="en-US" w:eastAsia="zh-CN" w:bidi="ar-SA"/>
        </w:rPr>
      </w:pPr>
      <w:r>
        <w:rPr>
          <w:rFonts w:hint="eastAsia" w:ascii="宋体" w:hAnsi="宋体" w:eastAsia="宋体" w:cs="宋体"/>
          <w:bCs/>
          <w:kern w:val="2"/>
          <w:sz w:val="30"/>
          <w:szCs w:val="30"/>
          <w:lang w:val="en-US" w:eastAsia="zh-CN" w:bidi="ar-SA"/>
        </w:rPr>
        <w:t>1、202</w:t>
      </w:r>
      <w:r>
        <w:rPr>
          <w:rFonts w:hint="eastAsia" w:cs="宋体"/>
          <w:bCs/>
          <w:kern w:val="2"/>
          <w:sz w:val="30"/>
          <w:szCs w:val="30"/>
          <w:lang w:val="en-US" w:eastAsia="zh-CN" w:bidi="ar-SA"/>
        </w:rPr>
        <w:t>3</w:t>
      </w:r>
      <w:r>
        <w:rPr>
          <w:rFonts w:hint="eastAsia" w:ascii="宋体" w:hAnsi="宋体" w:eastAsia="宋体" w:cs="宋体"/>
          <w:bCs/>
          <w:kern w:val="2"/>
          <w:sz w:val="30"/>
          <w:szCs w:val="30"/>
          <w:lang w:val="en-US" w:eastAsia="zh-CN" w:bidi="ar-SA"/>
        </w:rPr>
        <w:t>年我</w:t>
      </w:r>
      <w:r>
        <w:rPr>
          <w:rFonts w:hint="eastAsia" w:cs="宋体"/>
          <w:bCs/>
          <w:kern w:val="2"/>
          <w:sz w:val="30"/>
          <w:szCs w:val="30"/>
          <w:lang w:val="en-US" w:eastAsia="zh-CN" w:bidi="ar-SA"/>
        </w:rPr>
        <w:t>局</w:t>
      </w:r>
      <w:r>
        <w:rPr>
          <w:rFonts w:hint="eastAsia" w:ascii="宋体" w:hAnsi="宋体" w:eastAsia="宋体" w:cs="宋体"/>
          <w:bCs/>
          <w:kern w:val="2"/>
          <w:sz w:val="30"/>
          <w:szCs w:val="30"/>
          <w:lang w:val="en-US" w:eastAsia="zh-CN" w:bidi="ar-SA"/>
        </w:rPr>
        <w:t>沿袭了《城步苗族自治县</w:t>
      </w:r>
      <w:r>
        <w:rPr>
          <w:rFonts w:hint="eastAsia" w:cs="宋体"/>
          <w:bCs/>
          <w:kern w:val="2"/>
          <w:sz w:val="30"/>
          <w:szCs w:val="30"/>
          <w:lang w:val="en-US" w:eastAsia="zh-CN" w:bidi="ar-SA"/>
        </w:rPr>
        <w:t>农业农村水利局</w:t>
      </w:r>
      <w:r>
        <w:rPr>
          <w:rFonts w:hint="eastAsia" w:ascii="宋体" w:hAnsi="宋体" w:eastAsia="宋体" w:cs="宋体"/>
          <w:bCs/>
          <w:kern w:val="2"/>
          <w:sz w:val="30"/>
          <w:szCs w:val="30"/>
          <w:lang w:val="en-US" w:eastAsia="zh-CN" w:bidi="ar-SA"/>
        </w:rPr>
        <w:t>财务管理制度》，依照国家相关的法律、法规而制定，具有合法性、合规性、完整性。</w:t>
      </w:r>
    </w:p>
    <w:p w14:paraId="1B6BE514">
      <w:pPr>
        <w:pStyle w:val="8"/>
        <w:spacing w:before="0" w:beforeAutospacing="0" w:after="0" w:afterAutospacing="0"/>
        <w:ind w:firstLine="600" w:firstLineChars="200"/>
        <w:jc w:val="both"/>
        <w:rPr>
          <w:rFonts w:hint="eastAsia" w:ascii="宋体" w:hAnsi="宋体" w:eastAsia="宋体" w:cs="宋体"/>
          <w:bCs/>
          <w:kern w:val="2"/>
          <w:sz w:val="30"/>
          <w:szCs w:val="30"/>
          <w:lang w:val="en-US" w:eastAsia="zh-CN" w:bidi="ar-SA"/>
        </w:rPr>
      </w:pPr>
      <w:r>
        <w:rPr>
          <w:rFonts w:hint="eastAsia" w:ascii="宋体" w:hAnsi="宋体" w:eastAsia="宋体" w:cs="宋体"/>
          <w:bCs/>
          <w:kern w:val="2"/>
          <w:sz w:val="30"/>
          <w:szCs w:val="30"/>
          <w:lang w:val="en-US" w:eastAsia="zh-CN" w:bidi="ar-SA"/>
        </w:rPr>
        <w:t>2、我</w:t>
      </w:r>
      <w:r>
        <w:rPr>
          <w:rFonts w:hint="eastAsia" w:cs="宋体"/>
          <w:bCs/>
          <w:kern w:val="2"/>
          <w:sz w:val="30"/>
          <w:szCs w:val="30"/>
          <w:lang w:val="en-US" w:eastAsia="zh-CN" w:bidi="ar-SA"/>
        </w:rPr>
        <w:t>局</w:t>
      </w:r>
      <w:r>
        <w:rPr>
          <w:rFonts w:hint="eastAsia" w:ascii="宋体" w:hAnsi="宋体" w:eastAsia="宋体" w:cs="宋体"/>
          <w:bCs/>
          <w:kern w:val="2"/>
          <w:sz w:val="30"/>
          <w:szCs w:val="30"/>
          <w:lang w:val="en-US" w:eastAsia="zh-CN" w:bidi="ar-SA"/>
        </w:rPr>
        <w:t>在资金使用上一直按照国家财经法规和本县财务管理制度规定以及有关专项资金管理办法的规定进行收支，专项资金的拨付及所有经费的开支严格按照单位制订的财务制度和管理办法执行。根据财经制度的有关要求，专项资金做到专款专用，专人保管，单位的</w:t>
      </w:r>
      <w:r>
        <w:rPr>
          <w:rFonts w:hint="eastAsia" w:cs="宋体"/>
          <w:bCs/>
          <w:kern w:val="2"/>
          <w:sz w:val="30"/>
          <w:szCs w:val="30"/>
          <w:lang w:val="en-US" w:eastAsia="zh-CN" w:bidi="ar-SA"/>
        </w:rPr>
        <w:t>局长及</w:t>
      </w:r>
      <w:r>
        <w:rPr>
          <w:rFonts w:hint="eastAsia" w:ascii="宋体" w:hAnsi="宋体" w:eastAsia="宋体" w:cs="宋体"/>
          <w:bCs/>
          <w:kern w:val="2"/>
          <w:sz w:val="30"/>
          <w:szCs w:val="30"/>
          <w:lang w:val="en-US" w:eastAsia="zh-CN" w:bidi="ar-SA"/>
        </w:rPr>
        <w:t>分管财务</w:t>
      </w:r>
      <w:r>
        <w:rPr>
          <w:rFonts w:hint="eastAsia" w:cs="宋体"/>
          <w:bCs/>
          <w:kern w:val="2"/>
          <w:sz w:val="30"/>
          <w:szCs w:val="30"/>
          <w:lang w:val="en-US" w:eastAsia="zh-CN" w:bidi="ar-SA"/>
        </w:rPr>
        <w:t>副局</w:t>
      </w:r>
      <w:r>
        <w:rPr>
          <w:rFonts w:hint="eastAsia" w:ascii="宋体" w:hAnsi="宋体" w:eastAsia="宋体" w:cs="宋体"/>
          <w:bCs/>
          <w:kern w:val="2"/>
          <w:sz w:val="30"/>
          <w:szCs w:val="30"/>
          <w:lang w:val="en-US" w:eastAsia="zh-CN" w:bidi="ar-SA"/>
        </w:rPr>
        <w:t>领导对资金的使用进行全程监督，从而更好的保证资金的合规性。资金使用无截留、挤占、挪用、虚列支出等情况。</w:t>
      </w:r>
    </w:p>
    <w:p w14:paraId="17FB16D1">
      <w:pPr>
        <w:pStyle w:val="8"/>
        <w:spacing w:before="0" w:beforeAutospacing="0" w:after="0" w:afterAutospacing="0"/>
        <w:ind w:firstLine="640"/>
        <w:jc w:val="both"/>
        <w:rPr>
          <w:rFonts w:hint="eastAsia" w:ascii="宋体" w:hAnsi="宋体" w:eastAsia="宋体" w:cs="宋体"/>
          <w:bCs/>
          <w:kern w:val="2"/>
          <w:sz w:val="30"/>
          <w:szCs w:val="30"/>
          <w:lang w:val="en-US" w:eastAsia="zh-CN" w:bidi="ar-SA"/>
        </w:rPr>
      </w:pPr>
      <w:r>
        <w:rPr>
          <w:rFonts w:hint="eastAsia" w:ascii="宋体" w:hAnsi="宋体" w:eastAsia="宋体" w:cs="宋体"/>
          <w:bCs/>
          <w:kern w:val="2"/>
          <w:sz w:val="30"/>
          <w:szCs w:val="30"/>
          <w:lang w:val="en-US" w:eastAsia="zh-CN" w:bidi="ar-SA"/>
        </w:rPr>
        <w:t>3、我</w:t>
      </w:r>
      <w:r>
        <w:rPr>
          <w:rFonts w:hint="eastAsia" w:cs="宋体"/>
          <w:bCs/>
          <w:kern w:val="2"/>
          <w:sz w:val="30"/>
          <w:szCs w:val="30"/>
          <w:lang w:val="en-US" w:eastAsia="zh-CN" w:bidi="ar-SA"/>
        </w:rPr>
        <w:t>局</w:t>
      </w:r>
      <w:r>
        <w:rPr>
          <w:rFonts w:hint="eastAsia" w:ascii="宋体" w:hAnsi="宋体" w:eastAsia="宋体" w:cs="宋体"/>
          <w:bCs/>
          <w:kern w:val="2"/>
          <w:sz w:val="30"/>
          <w:szCs w:val="30"/>
          <w:lang w:val="en-US" w:eastAsia="zh-CN" w:bidi="ar-SA"/>
        </w:rPr>
        <w:t>全面实行财务会审制度和公开制度，成立了财务会审小组，小组成员每月对经费开支的原始票据进行审核，并在发票上签字，财务室对有财务会审小组签字并加盖财务会审公章的发票才能支付。</w:t>
      </w:r>
    </w:p>
    <w:p w14:paraId="05ACCAD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left="0" w:right="0" w:firstLine="0"/>
        <w:textAlignment w:val="auto"/>
        <w:rPr>
          <w:rFonts w:hint="default" w:ascii="Times New Roman" w:hAnsi="Times New Roman" w:cs="Times New Roman"/>
          <w:i w:val="0"/>
          <w:iCs w:val="0"/>
          <w:caps w:val="0"/>
          <w:color w:val="000000"/>
          <w:spacing w:val="0"/>
          <w:sz w:val="24"/>
          <w:szCs w:val="24"/>
        </w:rPr>
      </w:pPr>
    </w:p>
    <w:p w14:paraId="37D13D3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default" w:ascii="仿宋_GB2312" w:eastAsia="仿宋_GB2312" w:cs="仿宋_GB2312"/>
          <w:i w:val="0"/>
          <w:iCs w:val="0"/>
          <w:caps w:val="0"/>
          <w:color w:val="000000"/>
          <w:spacing w:val="0"/>
          <w:sz w:val="32"/>
          <w:szCs w:val="32"/>
          <w:shd w:val="clear" w:fill="FFFFFF"/>
        </w:rPr>
        <w:t>报告应包括以下附件：</w:t>
      </w:r>
    </w:p>
    <w:p w14:paraId="6E22819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eastAsia="仿宋_GB2312" w:cs="仿宋_GB2312"/>
          <w:i w:val="0"/>
          <w:iCs w:val="0"/>
          <w:caps w:val="0"/>
          <w:color w:val="000000"/>
          <w:spacing w:val="0"/>
          <w:sz w:val="32"/>
          <w:szCs w:val="32"/>
          <w:shd w:val="clear" w:fill="FFFFFF"/>
          <w:lang w:val="en-US" w:eastAsia="zh-CN"/>
        </w:rPr>
        <w:t>1.</w:t>
      </w:r>
      <w:r>
        <w:rPr>
          <w:rFonts w:hint="default" w:ascii="仿宋_GB2312" w:eastAsia="仿宋_GB2312" w:cs="仿宋_GB2312"/>
          <w:i w:val="0"/>
          <w:iCs w:val="0"/>
          <w:caps w:val="0"/>
          <w:color w:val="000000"/>
          <w:spacing w:val="0"/>
          <w:sz w:val="32"/>
          <w:szCs w:val="32"/>
          <w:shd w:val="clear" w:fill="FFFFFF"/>
        </w:rPr>
        <w:t>部门整体支出绩效评价基础数据表</w:t>
      </w:r>
      <w:r>
        <w:rPr>
          <w:rFonts w:hint="eastAsia" w:ascii="仿宋_GB2312" w:eastAsia="仿宋_GB2312" w:cs="仿宋_GB2312"/>
          <w:i w:val="0"/>
          <w:iCs w:val="0"/>
          <w:caps w:val="0"/>
          <w:color w:val="000000"/>
          <w:spacing w:val="0"/>
          <w:sz w:val="32"/>
          <w:szCs w:val="32"/>
          <w:shd w:val="clear" w:fill="FFFFFF"/>
          <w:lang w:val="en-US" w:eastAsia="zh-CN"/>
        </w:rPr>
        <w:t xml:space="preserve">  </w:t>
      </w:r>
    </w:p>
    <w:p w14:paraId="389E581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rPr>
      </w:pPr>
      <w:r>
        <w:rPr>
          <w:rFonts w:hint="eastAsia" w:ascii="仿宋_GB2312" w:eastAsia="仿宋_GB2312" w:cs="仿宋_GB2312"/>
          <w:i w:val="0"/>
          <w:iCs w:val="0"/>
          <w:caps w:val="0"/>
          <w:color w:val="000000"/>
          <w:spacing w:val="0"/>
          <w:sz w:val="32"/>
          <w:szCs w:val="32"/>
          <w:shd w:val="clear" w:fill="FFFFFF"/>
          <w:lang w:val="en-US" w:eastAsia="zh-CN"/>
        </w:rPr>
        <w:t>2.</w:t>
      </w:r>
      <w:r>
        <w:rPr>
          <w:rFonts w:hint="default" w:ascii="仿宋_GB2312" w:eastAsia="仿宋_GB2312" w:cs="仿宋_GB2312"/>
          <w:i w:val="0"/>
          <w:iCs w:val="0"/>
          <w:caps w:val="0"/>
          <w:color w:val="000000"/>
          <w:spacing w:val="0"/>
          <w:sz w:val="32"/>
          <w:szCs w:val="32"/>
          <w:shd w:val="clear" w:fill="FFFFFF"/>
        </w:rPr>
        <w:t>部门整体支出绩效自评表</w:t>
      </w:r>
    </w:p>
    <w:p w14:paraId="3EAE10A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eastAsia" w:ascii="仿宋_GB2312" w:eastAsia="仿宋_GB2312" w:cs="仿宋_GB2312"/>
          <w:i w:val="0"/>
          <w:iCs w:val="0"/>
          <w:caps w:val="0"/>
          <w:color w:val="000000"/>
          <w:spacing w:val="0"/>
          <w:sz w:val="32"/>
          <w:szCs w:val="32"/>
          <w:shd w:val="clear" w:fill="FFFFFF"/>
          <w:lang w:val="en-US" w:eastAsia="zh-CN"/>
        </w:rPr>
      </w:pPr>
      <w:r>
        <w:rPr>
          <w:rFonts w:hint="eastAsia" w:ascii="仿宋_GB2312" w:eastAsia="仿宋_GB2312" w:cs="仿宋_GB2312"/>
          <w:i w:val="0"/>
          <w:iCs w:val="0"/>
          <w:caps w:val="0"/>
          <w:color w:val="000000"/>
          <w:spacing w:val="0"/>
          <w:sz w:val="32"/>
          <w:szCs w:val="32"/>
          <w:shd w:val="clear" w:fill="FFFFFF"/>
          <w:lang w:val="en-US" w:eastAsia="zh-CN"/>
        </w:rPr>
        <w:t>3、项目支出绩效自评表（每个项目支出一张表！）</w:t>
      </w:r>
    </w:p>
    <w:p w14:paraId="6B57E1A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val="0"/>
        <w:spacing w:before="0" w:beforeAutospacing="0" w:after="0" w:afterAutospacing="0" w:line="520" w:lineRule="exact"/>
        <w:ind w:right="0" w:firstLine="0"/>
        <w:jc w:val="left"/>
        <w:textAlignment w:val="auto"/>
        <w:rPr>
          <w:rFonts w:hint="default" w:ascii="仿宋_GB2312" w:eastAsia="仿宋_GB2312" w:cs="仿宋_GB2312"/>
          <w:i w:val="0"/>
          <w:iCs w:val="0"/>
          <w:caps w:val="0"/>
          <w:color w:val="000000"/>
          <w:spacing w:val="0"/>
          <w:sz w:val="32"/>
          <w:szCs w:val="32"/>
          <w:shd w:val="clear" w:fill="FFFFFF"/>
          <w:lang w:val="en-US" w:eastAsia="zh-CN"/>
        </w:rPr>
      </w:pPr>
    </w:p>
    <w:p w14:paraId="2AD543E0">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0AB2DD5B">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3D9A674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3E07A87E">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6ED97BBF">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38E05D2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3DCE5F78">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5DF4AC13">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2950B3F9">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0BEDA562">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45256C8C">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245C01C1">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21615FE7">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70D3D765">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both"/>
        <w:rPr>
          <w:rFonts w:hint="default" w:ascii="Calibri" w:hAnsi="Calibri" w:cs="Calibri"/>
          <w:i w:val="0"/>
          <w:iCs w:val="0"/>
          <w:caps w:val="0"/>
          <w:color w:val="000000"/>
          <w:spacing w:val="0"/>
          <w:sz w:val="24"/>
          <w:szCs w:val="24"/>
        </w:rPr>
      </w:pPr>
    </w:p>
    <w:p w14:paraId="3C12EC5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exact"/>
        <w:ind w:left="0" w:right="0" w:firstLine="0"/>
        <w:jc w:val="both"/>
        <w:textAlignment w:val="auto"/>
        <w:rPr>
          <w:rFonts w:hint="eastAsia" w:ascii="方正小标宋_GBK" w:hAnsi="方正小标宋_GBK" w:eastAsia="方正小标宋_GBK" w:cs="方正小标宋_GBK"/>
          <w:i w:val="0"/>
          <w:iCs w:val="0"/>
          <w:caps w:val="0"/>
          <w:color w:val="000000"/>
          <w:spacing w:val="0"/>
          <w:sz w:val="32"/>
          <w:szCs w:val="32"/>
          <w:shd w:val="clear" w:fill="FFFFFF"/>
          <w:lang w:val="en-US" w:eastAsia="zh-CN"/>
        </w:rPr>
      </w:pPr>
    </w:p>
    <w:p w14:paraId="068B2FE8">
      <w:pPr>
        <w:jc w:val="left"/>
        <w:rPr>
          <w:rFonts w:hint="eastAsia" w:ascii="仿宋" w:hAnsi="仿宋" w:eastAsia="仿宋" w:cs="仿宋"/>
          <w:b/>
          <w:bCs/>
          <w:sz w:val="30"/>
          <w:szCs w:val="30"/>
          <w:lang w:val="en-US" w:eastAsia="zh-CN"/>
        </w:rPr>
      </w:pPr>
    </w:p>
    <w:sectPr>
      <w:pgSz w:w="11906" w:h="16838"/>
      <w:pgMar w:top="1440" w:right="1134" w:bottom="1440"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12060B7"/>
    <w:multiLevelType w:val="singleLevel"/>
    <w:tmpl w:val="312060B7"/>
    <w:lvl w:ilvl="0" w:tentative="0">
      <w:start w:val="3"/>
      <w:numFmt w:val="chineseCounting"/>
      <w:suff w:val="nothing"/>
      <w:lvlText w:val="%1、"/>
      <w:lvlJc w:val="left"/>
      <w:rPr>
        <w:rFonts w:hint="eastAsia"/>
      </w:rPr>
    </w:lvl>
  </w:abstractNum>
  <w:abstractNum w:abstractNumId="1">
    <w:nsid w:val="462DC583"/>
    <w:multiLevelType w:val="singleLevel"/>
    <w:tmpl w:val="462DC583"/>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jY2NjY2NhNTFjMTA1NTZiZjAwNWZjNzdmZDkwZTIifQ=="/>
    <w:docVar w:name="KSO_WPS_MARK_KEY" w:val="2cad2da4-8c74-4208-b950-09c4ddb6f378"/>
  </w:docVars>
  <w:rsids>
    <w:rsidRoot w:val="00000000"/>
    <w:rsid w:val="111E5B29"/>
    <w:rsid w:val="14BA606B"/>
    <w:rsid w:val="1EA33F65"/>
    <w:rsid w:val="269E5DD8"/>
    <w:rsid w:val="2D1B4FA1"/>
    <w:rsid w:val="30155846"/>
    <w:rsid w:val="351F0345"/>
    <w:rsid w:val="379433D1"/>
    <w:rsid w:val="4B72396B"/>
    <w:rsid w:val="71881FAB"/>
    <w:rsid w:val="7537041A"/>
    <w:rsid w:val="78BA3D99"/>
    <w:rsid w:val="799E0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28"/>
      <w:szCs w:val="28"/>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spacing w:before="100" w:beforeAutospacing="1" w:after="100" w:afterAutospacing="1"/>
      <w:jc w:val="left"/>
    </w:pPr>
    <w:rPr>
      <w:rFonts w:ascii="宋体" w:hAnsi="宋体" w:cs="宋体"/>
      <w:kern w:val="0"/>
      <w:sz w:val="24"/>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7">
    <w:name w:val="List Paragraph"/>
    <w:basedOn w:val="1"/>
    <w:qFormat/>
    <w:uiPriority w:val="99"/>
    <w:pPr>
      <w:ind w:firstLine="420" w:firstLineChars="200"/>
    </w:pPr>
    <w:rPr>
      <w:rFonts w:ascii="Times New Roman" w:hAnsi="Times New Roman"/>
      <w:szCs w:val="24"/>
    </w:rPr>
  </w:style>
  <w:style w:type="paragraph" w:customStyle="1" w:styleId="8">
    <w:name w:val="p0"/>
    <w:basedOn w:val="1"/>
    <w:qFormat/>
    <w:uiPriority w:val="0"/>
    <w:pPr>
      <w:adjustRightInd/>
      <w:snapToGrid/>
      <w:spacing w:before="100" w:beforeAutospacing="1" w:after="100" w:afterAutospacing="1"/>
    </w:pPr>
    <w:rPr>
      <w:rFonts w:ascii="宋体" w:hAnsi="宋体" w:eastAsia="宋体" w:cs="宋体"/>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5883</Words>
  <Characters>6263</Characters>
  <Lines>0</Lines>
  <Paragraphs>0</Paragraphs>
  <TotalTime>3</TotalTime>
  <ScaleCrop>false</ScaleCrop>
  <LinksUpToDate>false</LinksUpToDate>
  <CharactersWithSpaces>6286</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2021-09-17T07:11:00Z</dcterms:created>
  <dc:creator>Administrator</dc:creator>
  <cp:lastModifiedBy>Administrator</cp:lastModifiedBy>
  <dcterms:modified xsi:type="dcterms:W3CDTF">2024-11-18T03:51:48Z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56B1541961EC4A3B92C344C21115E4B0_13</vt:lpwstr>
  </property>
</Properties>
</file>