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FC5" w:rsidRDefault="004B328B">
      <w:pPr>
        <w:pStyle w:val="a3"/>
        <w:widowControl/>
        <w:shd w:val="clear" w:color="auto" w:fill="FFFFFF"/>
        <w:spacing w:beforeAutospacing="0" w:afterAutospacing="0" w:line="480" w:lineRule="atLeast"/>
        <w:jc w:val="both"/>
        <w:rPr>
          <w:rFonts w:ascii="方正小标宋_GBK" w:eastAsia="方正小标宋_GBK" w:hAnsi="方正小标宋_GBK" w:cs="方正小标宋_GBK"/>
          <w:color w:val="000000"/>
          <w:sz w:val="32"/>
          <w:szCs w:val="32"/>
          <w:shd w:val="clear" w:color="auto" w:fill="FFFFFF"/>
        </w:rPr>
      </w:pPr>
      <w:r>
        <w:rPr>
          <w:rFonts w:ascii="方正小标宋_GBK" w:eastAsia="方正小标宋_GBK" w:hAnsi="方正小标宋_GBK" w:cs="方正小标宋_GBK" w:hint="eastAsia"/>
          <w:color w:val="000000"/>
          <w:sz w:val="32"/>
          <w:szCs w:val="32"/>
          <w:shd w:val="clear" w:color="auto" w:fill="FFFFFF"/>
        </w:rPr>
        <w:t>附件1</w:t>
      </w:r>
    </w:p>
    <w:p w:rsidR="00FB1FC5" w:rsidRDefault="00FB1FC5">
      <w:pPr>
        <w:spacing w:line="600" w:lineRule="exact"/>
        <w:rPr>
          <w:rFonts w:eastAsia="黑体"/>
          <w:sz w:val="32"/>
          <w:szCs w:val="32"/>
        </w:rPr>
      </w:pPr>
    </w:p>
    <w:p w:rsidR="00FB1FC5" w:rsidRDefault="00FB1FC5">
      <w:pPr>
        <w:spacing w:line="600" w:lineRule="exact"/>
        <w:rPr>
          <w:rFonts w:eastAsia="黑体"/>
          <w:sz w:val="32"/>
          <w:szCs w:val="32"/>
        </w:rPr>
      </w:pPr>
    </w:p>
    <w:p w:rsidR="00FB1FC5" w:rsidRDefault="004B328B">
      <w:pPr>
        <w:jc w:val="center"/>
        <w:rPr>
          <w:rFonts w:eastAsia="方正小标宋_GBK"/>
          <w:sz w:val="52"/>
          <w:szCs w:val="52"/>
        </w:rPr>
      </w:pPr>
      <w:r>
        <w:rPr>
          <w:rFonts w:eastAsia="方正小标宋_GBK"/>
          <w:sz w:val="52"/>
          <w:szCs w:val="52"/>
        </w:rPr>
        <w:t>202</w:t>
      </w:r>
      <w:r>
        <w:rPr>
          <w:rFonts w:eastAsia="方正小标宋_GBK" w:hint="eastAsia"/>
          <w:sz w:val="52"/>
          <w:szCs w:val="52"/>
        </w:rPr>
        <w:t>3</w:t>
      </w:r>
      <w:r>
        <w:rPr>
          <w:rFonts w:eastAsia="方正小标宋_GBK"/>
          <w:sz w:val="52"/>
          <w:szCs w:val="52"/>
        </w:rPr>
        <w:t>年度</w:t>
      </w:r>
      <w:r w:rsidR="00BD1F0C">
        <w:rPr>
          <w:rFonts w:eastAsia="方正小标宋_GBK" w:hint="eastAsia"/>
          <w:sz w:val="52"/>
          <w:szCs w:val="52"/>
        </w:rPr>
        <w:t>中共城步苗族自治县纪律检查委员会</w:t>
      </w:r>
      <w:r>
        <w:rPr>
          <w:rFonts w:eastAsia="方正小标宋_GBK"/>
          <w:sz w:val="52"/>
          <w:szCs w:val="52"/>
        </w:rPr>
        <w:t>整体支出绩效自评报告</w:t>
      </w:r>
    </w:p>
    <w:p w:rsidR="00FB1FC5" w:rsidRDefault="00FB1FC5">
      <w:pPr>
        <w:jc w:val="center"/>
        <w:rPr>
          <w:rFonts w:eastAsia="方正小标宋_GBK"/>
          <w:b/>
          <w:sz w:val="52"/>
          <w:szCs w:val="52"/>
        </w:rPr>
      </w:pPr>
    </w:p>
    <w:p w:rsidR="00FB1FC5" w:rsidRDefault="00FB1FC5">
      <w:pPr>
        <w:jc w:val="center"/>
        <w:rPr>
          <w:rFonts w:eastAsia="黑体"/>
          <w:sz w:val="32"/>
          <w:szCs w:val="32"/>
        </w:rPr>
      </w:pPr>
    </w:p>
    <w:p w:rsidR="00FB1FC5" w:rsidRDefault="00FB1FC5">
      <w:pPr>
        <w:jc w:val="center"/>
        <w:rPr>
          <w:rFonts w:eastAsia="黑体"/>
          <w:sz w:val="32"/>
          <w:szCs w:val="32"/>
        </w:rPr>
      </w:pPr>
    </w:p>
    <w:p w:rsidR="00FB1FC5" w:rsidRDefault="00FB1FC5">
      <w:pPr>
        <w:jc w:val="center"/>
        <w:rPr>
          <w:rFonts w:eastAsia="黑体"/>
          <w:sz w:val="32"/>
          <w:szCs w:val="32"/>
        </w:rPr>
      </w:pPr>
    </w:p>
    <w:p w:rsidR="00FB1FC5" w:rsidRDefault="00FB1FC5">
      <w:pPr>
        <w:jc w:val="center"/>
        <w:rPr>
          <w:rFonts w:eastAsia="黑体"/>
          <w:sz w:val="32"/>
          <w:szCs w:val="32"/>
        </w:rPr>
      </w:pPr>
    </w:p>
    <w:p w:rsidR="00FB1FC5" w:rsidRDefault="00FB1FC5">
      <w:pPr>
        <w:jc w:val="center"/>
        <w:rPr>
          <w:rFonts w:eastAsia="黑体"/>
          <w:sz w:val="32"/>
          <w:szCs w:val="32"/>
        </w:rPr>
      </w:pPr>
    </w:p>
    <w:p w:rsidR="00FB1FC5" w:rsidRDefault="00FB1FC5">
      <w:pPr>
        <w:jc w:val="center"/>
        <w:rPr>
          <w:rFonts w:eastAsia="黑体"/>
          <w:sz w:val="32"/>
          <w:szCs w:val="32"/>
        </w:rPr>
      </w:pPr>
    </w:p>
    <w:p w:rsidR="00FB1FC5" w:rsidRDefault="00FB1FC5">
      <w:pPr>
        <w:jc w:val="center"/>
        <w:rPr>
          <w:rFonts w:eastAsia="黑体"/>
          <w:sz w:val="32"/>
          <w:szCs w:val="32"/>
        </w:rPr>
      </w:pPr>
    </w:p>
    <w:p w:rsidR="00FB1FC5" w:rsidRDefault="004B328B">
      <w:pPr>
        <w:spacing w:line="600" w:lineRule="exact"/>
        <w:ind w:firstLineChars="600" w:firstLine="2400"/>
        <w:rPr>
          <w:rFonts w:ascii="仿宋" w:eastAsia="仿宋" w:hAnsi="仿宋" w:cs="仿宋"/>
          <w:sz w:val="40"/>
          <w:szCs w:val="40"/>
          <w:u w:val="single"/>
        </w:rPr>
      </w:pPr>
      <w:r>
        <w:rPr>
          <w:rFonts w:ascii="仿宋" w:eastAsia="仿宋" w:hAnsi="仿宋" w:cs="仿宋" w:hint="eastAsia"/>
          <w:sz w:val="40"/>
          <w:szCs w:val="40"/>
        </w:rPr>
        <w:t>单位名称：</w:t>
      </w:r>
      <w:r>
        <w:rPr>
          <w:rFonts w:ascii="仿宋" w:eastAsia="仿宋" w:hAnsi="仿宋" w:cs="仿宋" w:hint="eastAsia"/>
          <w:sz w:val="40"/>
          <w:szCs w:val="40"/>
          <w:u w:val="single"/>
        </w:rPr>
        <w:t xml:space="preserve">（盖章）    </w:t>
      </w:r>
    </w:p>
    <w:p w:rsidR="00FB1FC5" w:rsidRDefault="004B328B">
      <w:pPr>
        <w:spacing w:line="600" w:lineRule="exact"/>
        <w:ind w:firstLineChars="700" w:firstLine="2800"/>
        <w:rPr>
          <w:rFonts w:ascii="仿宋" w:eastAsia="仿宋" w:hAnsi="仿宋" w:cs="仿宋"/>
          <w:sz w:val="40"/>
          <w:szCs w:val="40"/>
        </w:rPr>
      </w:pPr>
      <w:r>
        <w:rPr>
          <w:rFonts w:ascii="仿宋" w:eastAsia="仿宋" w:hAnsi="仿宋" w:cs="仿宋" w:hint="eastAsia"/>
          <w:sz w:val="40"/>
          <w:szCs w:val="40"/>
        </w:rPr>
        <w:t>2024年 5 月31日</w:t>
      </w:r>
    </w:p>
    <w:p w:rsidR="00FB1FC5" w:rsidRDefault="00FB1FC5"/>
    <w:p w:rsidR="00FB1FC5" w:rsidRDefault="00FB1FC5"/>
    <w:p w:rsidR="00FB1FC5" w:rsidRDefault="00FB1FC5"/>
    <w:p w:rsidR="00FB1FC5" w:rsidRDefault="00FB1FC5"/>
    <w:p w:rsidR="00FB1FC5" w:rsidRDefault="00FB1FC5"/>
    <w:p w:rsidR="00FB1FC5" w:rsidRDefault="00FB1FC5"/>
    <w:p w:rsidR="00FB1FC5" w:rsidRDefault="00FB1FC5"/>
    <w:p w:rsidR="00FB1FC5" w:rsidRDefault="00FB1FC5">
      <w:pPr>
        <w:pStyle w:val="a3"/>
        <w:widowControl/>
        <w:shd w:val="clear" w:color="auto" w:fill="FFFFFF"/>
        <w:spacing w:beforeAutospacing="0" w:afterAutospacing="0" w:line="480" w:lineRule="atLeast"/>
        <w:jc w:val="both"/>
        <w:rPr>
          <w:rFonts w:ascii="方正小标宋_GBK" w:eastAsia="方正小标宋_GBK" w:hAnsi="方正小标宋_GBK" w:cs="方正小标宋_GBK"/>
          <w:color w:val="000000"/>
          <w:sz w:val="32"/>
          <w:szCs w:val="32"/>
          <w:shd w:val="clear" w:color="auto" w:fill="FFFFFF"/>
        </w:rPr>
      </w:pPr>
    </w:p>
    <w:p w:rsidR="00FB1FC5" w:rsidRDefault="004B328B">
      <w:pPr>
        <w:pStyle w:val="a3"/>
        <w:widowControl/>
        <w:shd w:val="clear" w:color="auto" w:fill="FFFFFF"/>
        <w:snapToGrid w:val="0"/>
        <w:spacing w:beforeAutospacing="0" w:afterAutospacing="0" w:line="52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shd w:val="clear" w:color="auto" w:fill="FFFFFF"/>
        </w:rPr>
        <w:t>2023年度</w:t>
      </w:r>
      <w:r w:rsidR="00BD1F0C">
        <w:rPr>
          <w:rFonts w:ascii="方正小标宋_GBK" w:eastAsia="方正小标宋_GBK" w:hAnsi="方正小标宋_GBK" w:cs="方正小标宋_GBK" w:hint="eastAsia"/>
          <w:color w:val="000000"/>
          <w:sz w:val="44"/>
          <w:szCs w:val="44"/>
          <w:shd w:val="clear" w:color="auto" w:fill="FFFFFF"/>
        </w:rPr>
        <w:t>中共城步苗族自治县纪律检查委员会</w:t>
      </w:r>
      <w:r>
        <w:rPr>
          <w:rFonts w:ascii="方正小标宋_GBK" w:eastAsia="方正小标宋_GBK" w:hAnsi="方正小标宋_GBK" w:cs="方正小标宋_GBK" w:hint="eastAsia"/>
          <w:color w:val="000000"/>
          <w:sz w:val="44"/>
          <w:szCs w:val="44"/>
          <w:shd w:val="clear" w:color="auto" w:fill="FFFFFF"/>
        </w:rPr>
        <w:t>整体支出绩效自评报告</w:t>
      </w:r>
    </w:p>
    <w:p w:rsidR="00FB1FC5" w:rsidRDefault="00FB1FC5">
      <w:pPr>
        <w:pStyle w:val="a3"/>
        <w:widowControl/>
        <w:shd w:val="clear" w:color="auto" w:fill="FFFFFF"/>
        <w:snapToGrid w:val="0"/>
        <w:spacing w:beforeAutospacing="0" w:afterAutospacing="0" w:line="520" w:lineRule="exact"/>
        <w:jc w:val="center"/>
        <w:rPr>
          <w:rFonts w:ascii="仿宋_GB2312" w:cs="仿宋_GB2312"/>
          <w:color w:val="000000"/>
          <w:szCs w:val="24"/>
        </w:rPr>
      </w:pPr>
    </w:p>
    <w:p w:rsidR="00BD1F0C" w:rsidRDefault="00BD1F0C">
      <w:pPr>
        <w:pStyle w:val="a3"/>
        <w:widowControl/>
        <w:shd w:val="clear" w:color="auto" w:fill="FFFFFF"/>
        <w:snapToGrid w:val="0"/>
        <w:spacing w:beforeAutospacing="0" w:afterAutospacing="0" w:line="520" w:lineRule="exact"/>
        <w:jc w:val="center"/>
        <w:rPr>
          <w:rFonts w:ascii="仿宋_GB2312" w:cs="仿宋_GB2312"/>
          <w:color w:val="000000"/>
          <w:szCs w:val="24"/>
        </w:rPr>
      </w:pPr>
    </w:p>
    <w:p w:rsidR="00686731" w:rsidRDefault="004B328B" w:rsidP="00686731">
      <w:pPr>
        <w:pStyle w:val="a3"/>
        <w:widowControl/>
        <w:shd w:val="clear" w:color="auto" w:fill="FFFFFF"/>
        <w:snapToGrid w:val="0"/>
        <w:spacing w:beforeAutospacing="0" w:afterAutospacing="0" w:line="5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一、部门、单位基本情况</w:t>
      </w:r>
    </w:p>
    <w:p w:rsidR="00FB1FC5" w:rsidRPr="00686731" w:rsidRDefault="004B328B" w:rsidP="00686731">
      <w:pPr>
        <w:pStyle w:val="a3"/>
        <w:widowControl/>
        <w:shd w:val="clear" w:color="auto" w:fill="FFFFFF"/>
        <w:snapToGrid w:val="0"/>
        <w:spacing w:beforeAutospacing="0" w:afterAutospacing="0" w:line="520" w:lineRule="exact"/>
        <w:ind w:firstLineChars="200" w:firstLine="640"/>
        <w:rPr>
          <w:rFonts w:ascii="黑体" w:eastAsia="黑体" w:hAnsi="黑体" w:cs="黑体"/>
          <w:color w:val="000000"/>
          <w:sz w:val="32"/>
          <w:szCs w:val="32"/>
        </w:rPr>
      </w:pPr>
      <w:r>
        <w:rPr>
          <w:rFonts w:ascii="楷体_GB2312" w:eastAsia="楷体_GB2312" w:cs="楷体_GB2312"/>
          <w:color w:val="000000"/>
          <w:sz w:val="32"/>
          <w:szCs w:val="32"/>
          <w:shd w:val="clear" w:color="auto" w:fill="FFFFFF"/>
        </w:rPr>
        <w:t>（一）机构设置情况</w:t>
      </w:r>
    </w:p>
    <w:p w:rsidR="00686731" w:rsidRDefault="00BD1F0C" w:rsidP="00686731">
      <w:pPr>
        <w:snapToGrid w:val="0"/>
        <w:spacing w:line="500" w:lineRule="exact"/>
        <w:ind w:firstLineChars="200" w:firstLine="640"/>
        <w:rPr>
          <w:rFonts w:ascii="仿宋" w:eastAsia="仿宋" w:cs="仿宋"/>
          <w:sz w:val="32"/>
          <w:szCs w:val="32"/>
        </w:rPr>
      </w:pPr>
      <w:r>
        <w:rPr>
          <w:rFonts w:ascii="仿宋" w:eastAsia="仿宋" w:cs="仿宋" w:hint="eastAsia"/>
          <w:sz w:val="32"/>
          <w:szCs w:val="32"/>
        </w:rPr>
        <w:t>中共城步苗族自治县纪律检查委员会共设立12个内设机构、</w:t>
      </w:r>
      <w:r>
        <w:rPr>
          <w:rFonts w:ascii="仿宋" w:eastAsia="仿宋" w:cs="仿宋"/>
          <w:sz w:val="32"/>
          <w:szCs w:val="32"/>
        </w:rPr>
        <w:t>1</w:t>
      </w:r>
      <w:r>
        <w:rPr>
          <w:rFonts w:ascii="仿宋" w:eastAsia="仿宋" w:cs="仿宋" w:hint="eastAsia"/>
          <w:sz w:val="32"/>
          <w:szCs w:val="32"/>
        </w:rPr>
        <w:t>个直属单位</w:t>
      </w:r>
      <w:r w:rsidRPr="00693A78">
        <w:rPr>
          <w:rFonts w:ascii="仿宋" w:eastAsia="仿宋" w:cs="仿宋" w:hint="eastAsia"/>
          <w:sz w:val="32"/>
          <w:szCs w:val="32"/>
        </w:rPr>
        <w:t>，</w:t>
      </w:r>
      <w:r>
        <w:rPr>
          <w:rFonts w:ascii="仿宋" w:eastAsia="仿宋" w:cs="仿宋"/>
          <w:sz w:val="32"/>
          <w:szCs w:val="32"/>
        </w:rPr>
        <w:t>10</w:t>
      </w:r>
      <w:r>
        <w:rPr>
          <w:rFonts w:ascii="仿宋" w:eastAsia="仿宋" w:cs="仿宋" w:hint="eastAsia"/>
          <w:sz w:val="32"/>
          <w:szCs w:val="32"/>
        </w:rPr>
        <w:t>个派驻机构。县委巡察工作领导小组办公室(含</w:t>
      </w:r>
      <w:r w:rsidRPr="00693A78">
        <w:rPr>
          <w:rFonts w:ascii="仿宋" w:eastAsia="仿宋" w:cs="仿宋" w:hint="eastAsia"/>
          <w:sz w:val="32"/>
          <w:szCs w:val="32"/>
        </w:rPr>
        <w:t>巡察办信息中心</w:t>
      </w:r>
      <w:r>
        <w:rPr>
          <w:rFonts w:ascii="仿宋" w:eastAsia="仿宋" w:cs="仿宋" w:hint="eastAsia"/>
          <w:sz w:val="32"/>
          <w:szCs w:val="32"/>
        </w:rPr>
        <w:t>)、县委巡察一组、县委巡察二组列入县委工作部门序列，设在县纪委，由县纪委管理。同时设有专项整治办等县委县政府常设机构。本委属全额拨款的共产党机关、政治机关，会计核算执行行政单位会计制度，独立核算机构数</w:t>
      </w:r>
      <w:r>
        <w:rPr>
          <w:rFonts w:ascii="仿宋" w:eastAsia="仿宋" w:cs="仿宋"/>
          <w:sz w:val="32"/>
          <w:szCs w:val="32"/>
        </w:rPr>
        <w:t>1</w:t>
      </w:r>
      <w:r>
        <w:rPr>
          <w:rFonts w:ascii="仿宋" w:eastAsia="仿宋" w:cs="仿宋" w:hint="eastAsia"/>
          <w:sz w:val="32"/>
          <w:szCs w:val="32"/>
        </w:rPr>
        <w:t>个</w:t>
      </w:r>
      <w:r w:rsidR="00686731">
        <w:rPr>
          <w:rFonts w:ascii="仿宋" w:eastAsia="仿宋" w:cs="仿宋" w:hint="eastAsia"/>
          <w:sz w:val="32"/>
          <w:szCs w:val="32"/>
        </w:rPr>
        <w:t>。</w:t>
      </w:r>
    </w:p>
    <w:p w:rsidR="00FB1FC5" w:rsidRPr="00686731" w:rsidRDefault="004B328B" w:rsidP="00686731">
      <w:pPr>
        <w:snapToGrid w:val="0"/>
        <w:spacing w:line="500" w:lineRule="exact"/>
        <w:ind w:firstLineChars="200" w:firstLine="640"/>
        <w:rPr>
          <w:rFonts w:ascii="仿宋" w:eastAsia="仿宋" w:cs="仿宋"/>
          <w:sz w:val="32"/>
          <w:szCs w:val="32"/>
        </w:rPr>
      </w:pPr>
      <w:r>
        <w:rPr>
          <w:rFonts w:ascii="楷体_GB2312" w:eastAsia="楷体_GB2312" w:cs="楷体_GB2312"/>
          <w:color w:val="000000"/>
          <w:sz w:val="32"/>
          <w:szCs w:val="32"/>
          <w:shd w:val="clear" w:color="auto" w:fill="FFFFFF"/>
        </w:rPr>
        <w:t>（二）人员编制情况</w:t>
      </w:r>
    </w:p>
    <w:p w:rsidR="00686731" w:rsidRDefault="00B75A0F" w:rsidP="00686731">
      <w:pPr>
        <w:pStyle w:val="a3"/>
        <w:widowControl/>
        <w:shd w:val="clear" w:color="auto" w:fill="FFFFFF"/>
        <w:snapToGrid w:val="0"/>
        <w:spacing w:beforeAutospacing="0" w:afterAutospacing="0" w:line="520" w:lineRule="exact"/>
        <w:ind w:firstLineChars="200" w:firstLine="640"/>
        <w:rPr>
          <w:rFonts w:ascii="楷体_GB2312" w:eastAsia="楷体_GB2312" w:cs="楷体_GB2312"/>
          <w:color w:val="000000"/>
          <w:sz w:val="32"/>
          <w:szCs w:val="32"/>
        </w:rPr>
      </w:pPr>
      <w:r>
        <w:rPr>
          <w:rFonts w:ascii="仿宋" w:eastAsia="仿宋" w:cs="仿宋" w:hint="eastAsia"/>
          <w:sz w:val="32"/>
          <w:szCs w:val="32"/>
        </w:rPr>
        <w:t>县编办核定本委编制106个（含派驻机构、巡察办、组、信息中心），其中行政编制</w:t>
      </w:r>
      <w:r>
        <w:rPr>
          <w:rFonts w:ascii="仿宋" w:eastAsia="仿宋" w:cs="仿宋"/>
          <w:sz w:val="32"/>
          <w:szCs w:val="32"/>
        </w:rPr>
        <w:t>92</w:t>
      </w:r>
      <w:r>
        <w:rPr>
          <w:rFonts w:ascii="仿宋" w:eastAsia="仿宋" w:cs="仿宋" w:hint="eastAsia"/>
          <w:sz w:val="32"/>
          <w:szCs w:val="32"/>
        </w:rPr>
        <w:t>名，后勤编制</w:t>
      </w:r>
      <w:r>
        <w:rPr>
          <w:rFonts w:ascii="仿宋" w:eastAsia="仿宋" w:cs="仿宋"/>
          <w:sz w:val="32"/>
          <w:szCs w:val="32"/>
        </w:rPr>
        <w:t>2</w:t>
      </w:r>
      <w:r>
        <w:rPr>
          <w:rFonts w:ascii="仿宋" w:eastAsia="仿宋" w:cs="仿宋" w:hint="eastAsia"/>
          <w:sz w:val="32"/>
          <w:szCs w:val="32"/>
        </w:rPr>
        <w:t>名，事业编制12名。</w:t>
      </w:r>
      <w:r>
        <w:rPr>
          <w:rFonts w:ascii="仿宋" w:eastAsia="仿宋" w:cs="仿宋"/>
          <w:sz w:val="32"/>
          <w:szCs w:val="32"/>
        </w:rPr>
        <w:t>202</w:t>
      </w:r>
      <w:r>
        <w:rPr>
          <w:rFonts w:ascii="仿宋" w:eastAsia="仿宋" w:cs="仿宋" w:hint="eastAsia"/>
          <w:sz w:val="32"/>
          <w:szCs w:val="32"/>
        </w:rPr>
        <w:t>3年底本委（含派驻机构、巡察办、组）年末在职人员94名(行政人员83名，事业编11名)。</w:t>
      </w:r>
    </w:p>
    <w:p w:rsidR="00FB1FC5" w:rsidRPr="004B4D37" w:rsidRDefault="004B328B" w:rsidP="004B4D37">
      <w:pPr>
        <w:snapToGrid w:val="0"/>
        <w:spacing w:line="500" w:lineRule="exact"/>
        <w:ind w:firstLineChars="200" w:firstLine="64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（三）主要职能职责</w:t>
      </w:r>
    </w:p>
    <w:p w:rsidR="00686731" w:rsidRDefault="00B75A0F" w:rsidP="00686731">
      <w:pPr>
        <w:widowControl/>
        <w:spacing w:line="560" w:lineRule="exact"/>
        <w:ind w:firstLineChars="200" w:firstLine="640"/>
        <w:rPr>
          <w:rFonts w:ascii="仿宋" w:eastAsia="仿宋" w:cs="仿宋"/>
          <w:sz w:val="32"/>
          <w:szCs w:val="32"/>
        </w:rPr>
      </w:pPr>
      <w:r>
        <w:rPr>
          <w:rFonts w:ascii="仿宋" w:eastAsia="仿宋" w:cs="仿宋" w:hint="eastAsia"/>
          <w:sz w:val="32"/>
          <w:szCs w:val="32"/>
        </w:rPr>
        <w:t>维护党的章程和其他党内法规；检查党的路线、方针、政策和决议的执行情况；协助党的委员会推进全面从严治党、加强党风建设；组织协调反腐败工作。</w:t>
      </w:r>
    </w:p>
    <w:p w:rsidR="00686731" w:rsidRDefault="004B328B" w:rsidP="004B4D37">
      <w:pPr>
        <w:snapToGrid w:val="0"/>
        <w:spacing w:line="500" w:lineRule="exact"/>
        <w:ind w:firstLineChars="200" w:firstLine="64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（四）绩效目标设定情况</w:t>
      </w:r>
    </w:p>
    <w:p w:rsidR="00686731" w:rsidRDefault="004B4D37" w:rsidP="00686731">
      <w:pPr>
        <w:widowControl/>
        <w:spacing w:line="560" w:lineRule="exact"/>
        <w:ind w:firstLineChars="200" w:firstLine="640"/>
        <w:rPr>
          <w:rFonts w:eastAsia="楷体_GB2312"/>
          <w:bCs/>
          <w:sz w:val="32"/>
          <w:szCs w:val="32"/>
        </w:rPr>
      </w:pPr>
      <w:r>
        <w:rPr>
          <w:rFonts w:ascii="仿宋" w:eastAsia="仿宋" w:cs="仿宋" w:hint="eastAsia"/>
          <w:sz w:val="32"/>
          <w:szCs w:val="32"/>
        </w:rPr>
        <w:lastRenderedPageBreak/>
        <w:t>坚持不懈用党的创新理论凝心铸魂;</w:t>
      </w:r>
      <w:r w:rsidR="00B75A0F" w:rsidRPr="00B75A0F">
        <w:rPr>
          <w:rFonts w:ascii="仿宋" w:eastAsia="仿宋" w:cs="仿宋" w:hint="eastAsia"/>
          <w:sz w:val="32"/>
          <w:szCs w:val="32"/>
        </w:rPr>
        <w:t>持续强化政治监督</w:t>
      </w:r>
      <w:r>
        <w:rPr>
          <w:rFonts w:ascii="仿宋" w:eastAsia="仿宋" w:cs="仿宋" w:hint="eastAsia"/>
          <w:sz w:val="32"/>
          <w:szCs w:val="32"/>
        </w:rPr>
        <w:t>;</w:t>
      </w:r>
      <w:r w:rsidR="00B75A0F" w:rsidRPr="00B75A0F">
        <w:rPr>
          <w:rFonts w:ascii="仿宋" w:eastAsia="仿宋" w:cs="仿宋" w:hint="eastAsia"/>
          <w:sz w:val="32"/>
          <w:szCs w:val="32"/>
        </w:rPr>
        <w:t>一体推进“三不腐”</w:t>
      </w:r>
      <w:r>
        <w:rPr>
          <w:rFonts w:ascii="仿宋" w:eastAsia="仿宋" w:cs="仿宋" w:hint="eastAsia"/>
          <w:sz w:val="32"/>
          <w:szCs w:val="32"/>
        </w:rPr>
        <w:t>;</w:t>
      </w:r>
      <w:r w:rsidR="00B75A0F" w:rsidRPr="00B75A0F">
        <w:rPr>
          <w:rFonts w:ascii="仿宋" w:eastAsia="仿宋" w:cs="仿宋" w:hint="eastAsia"/>
          <w:sz w:val="32"/>
          <w:szCs w:val="32"/>
        </w:rPr>
        <w:t>有力推动纠治“四风”常态化长效化</w:t>
      </w:r>
      <w:r>
        <w:rPr>
          <w:rFonts w:ascii="仿宋" w:eastAsia="仿宋" w:cs="仿宋" w:hint="eastAsia"/>
          <w:sz w:val="32"/>
          <w:szCs w:val="32"/>
        </w:rPr>
        <w:t>;</w:t>
      </w:r>
      <w:r w:rsidR="00B75A0F" w:rsidRPr="00B75A0F">
        <w:rPr>
          <w:rFonts w:ascii="仿宋" w:eastAsia="仿宋" w:cs="仿宋" w:hint="eastAsia"/>
          <w:sz w:val="32"/>
          <w:szCs w:val="32"/>
        </w:rPr>
        <w:t xml:space="preserve">持续加强队伍建设。　</w:t>
      </w:r>
    </w:p>
    <w:p w:rsidR="00FB1FC5" w:rsidRPr="00686731" w:rsidRDefault="004B328B" w:rsidP="00686731">
      <w:pPr>
        <w:widowControl/>
        <w:spacing w:line="560" w:lineRule="exact"/>
        <w:ind w:firstLineChars="200" w:firstLine="640"/>
        <w:rPr>
          <w:rFonts w:eastAsia="楷体_GB2312"/>
          <w:bCs/>
          <w:sz w:val="32"/>
          <w:szCs w:val="32"/>
        </w:rPr>
      </w:pPr>
      <w:r>
        <w:rPr>
          <w:rFonts w:ascii="黑体" w:eastAsia="黑体" w:hAnsi="黑体" w:cs="黑体" w:hint="eastAsia"/>
          <w:color w:val="000000"/>
          <w:kern w:val="0"/>
          <w:sz w:val="32"/>
          <w:szCs w:val="32"/>
          <w:shd w:val="clear" w:color="auto" w:fill="FFFFFF"/>
        </w:rPr>
        <w:t>二、部门整体支出管理及使用情况</w:t>
      </w:r>
    </w:p>
    <w:p w:rsidR="00FB1FC5" w:rsidRPr="004B4D37" w:rsidRDefault="004B328B" w:rsidP="004B4D37">
      <w:pPr>
        <w:snapToGrid w:val="0"/>
        <w:spacing w:line="500" w:lineRule="exact"/>
        <w:ind w:firstLineChars="200" w:firstLine="640"/>
        <w:rPr>
          <w:rFonts w:ascii="楷体_GB2312" w:eastAsia="楷体_GB2312" w:cs="楷体_GB2312"/>
          <w:color w:val="000000"/>
          <w:sz w:val="32"/>
          <w:szCs w:val="32"/>
          <w:shd w:val="clear" w:color="auto" w:fill="FFFFFF"/>
        </w:rPr>
      </w:pPr>
      <w:r w:rsidRPr="004B4D37">
        <w:rPr>
          <w:rFonts w:ascii="楷体_GB2312" w:eastAsia="楷体_GB2312" w:cs="楷体_GB2312"/>
          <w:color w:val="000000"/>
          <w:sz w:val="32"/>
          <w:szCs w:val="32"/>
          <w:shd w:val="clear" w:color="auto" w:fill="FFFFFF"/>
        </w:rPr>
        <w:t>（一）</w:t>
      </w:r>
      <w:r w:rsidRPr="004B4D37">
        <w:rPr>
          <w:rFonts w:ascii="楷体_GB2312" w:eastAsia="楷体_GB2312" w:cs="楷体_GB2312" w:hint="eastAsia"/>
          <w:color w:val="000000"/>
          <w:sz w:val="32"/>
          <w:szCs w:val="32"/>
          <w:shd w:val="clear" w:color="auto" w:fill="FFFFFF"/>
        </w:rPr>
        <w:t>部门</w:t>
      </w:r>
      <w:r w:rsidRPr="004B4D37">
        <w:rPr>
          <w:rFonts w:ascii="楷体_GB2312" w:eastAsia="楷体_GB2312" w:cs="楷体_GB2312"/>
          <w:color w:val="000000"/>
          <w:sz w:val="32"/>
          <w:szCs w:val="32"/>
          <w:shd w:val="clear" w:color="auto" w:fill="FFFFFF"/>
        </w:rPr>
        <w:t>预决算情况</w:t>
      </w:r>
    </w:p>
    <w:p w:rsidR="00FB1FC5" w:rsidRDefault="004B328B">
      <w:pPr>
        <w:spacing w:line="600" w:lineRule="exact"/>
        <w:ind w:firstLineChars="200" w:firstLine="640"/>
        <w:rPr>
          <w:sz w:val="32"/>
          <w:szCs w:val="32"/>
        </w:rPr>
      </w:pPr>
      <w:r>
        <w:rPr>
          <w:sz w:val="32"/>
          <w:szCs w:val="32"/>
        </w:rPr>
        <w:t>1.</w:t>
      </w:r>
      <w:r>
        <w:rPr>
          <w:sz w:val="32"/>
          <w:szCs w:val="32"/>
        </w:rPr>
        <w:t>部门预算情况</w:t>
      </w:r>
    </w:p>
    <w:p w:rsidR="00FB1FC5" w:rsidRDefault="004B328B">
      <w:pPr>
        <w:spacing w:line="600" w:lineRule="exact"/>
        <w:ind w:firstLineChars="200" w:firstLine="640"/>
        <w:rPr>
          <w:sz w:val="32"/>
          <w:szCs w:val="32"/>
        </w:rPr>
      </w:pPr>
      <w:r>
        <w:rPr>
          <w:sz w:val="32"/>
          <w:szCs w:val="32"/>
        </w:rPr>
        <w:t>2023</w:t>
      </w:r>
      <w:r>
        <w:rPr>
          <w:sz w:val="32"/>
          <w:szCs w:val="32"/>
        </w:rPr>
        <w:t>年年初预算安排收入</w:t>
      </w:r>
      <w:r w:rsidR="00B75A0F">
        <w:rPr>
          <w:rFonts w:hint="eastAsia"/>
          <w:sz w:val="32"/>
          <w:szCs w:val="32"/>
        </w:rPr>
        <w:t>1918.95</w:t>
      </w:r>
      <w:r>
        <w:rPr>
          <w:sz w:val="32"/>
          <w:szCs w:val="32"/>
        </w:rPr>
        <w:t>万元，其中一般公共财政拨款</w:t>
      </w:r>
      <w:r w:rsidR="00B75A0F">
        <w:rPr>
          <w:rFonts w:hint="eastAsia"/>
          <w:sz w:val="32"/>
          <w:szCs w:val="32"/>
        </w:rPr>
        <w:t>1918.95</w:t>
      </w:r>
      <w:r>
        <w:rPr>
          <w:sz w:val="32"/>
          <w:szCs w:val="32"/>
        </w:rPr>
        <w:t>万元；</w:t>
      </w:r>
      <w:r>
        <w:rPr>
          <w:sz w:val="32"/>
          <w:szCs w:val="32"/>
        </w:rPr>
        <w:t>2023</w:t>
      </w:r>
      <w:r>
        <w:rPr>
          <w:sz w:val="32"/>
          <w:szCs w:val="32"/>
        </w:rPr>
        <w:t>年年初预算安排支出</w:t>
      </w:r>
      <w:r w:rsidR="00B75A0F">
        <w:rPr>
          <w:rFonts w:hint="eastAsia"/>
          <w:sz w:val="32"/>
          <w:szCs w:val="32"/>
        </w:rPr>
        <w:t>1918.95</w:t>
      </w:r>
      <w:r>
        <w:rPr>
          <w:sz w:val="32"/>
          <w:szCs w:val="32"/>
        </w:rPr>
        <w:t>万元</w:t>
      </w:r>
      <w:r>
        <w:rPr>
          <w:rFonts w:hint="eastAsia"/>
          <w:sz w:val="32"/>
          <w:szCs w:val="32"/>
        </w:rPr>
        <w:t>，</w:t>
      </w:r>
      <w:r>
        <w:rPr>
          <w:sz w:val="32"/>
          <w:szCs w:val="32"/>
        </w:rPr>
        <w:t>其中：基本支出</w:t>
      </w:r>
      <w:r w:rsidR="00B75A0F">
        <w:rPr>
          <w:rFonts w:hint="eastAsia"/>
          <w:sz w:val="32"/>
          <w:szCs w:val="32"/>
        </w:rPr>
        <w:t>1316.19</w:t>
      </w:r>
      <w:r>
        <w:rPr>
          <w:sz w:val="32"/>
          <w:szCs w:val="32"/>
        </w:rPr>
        <w:t>万元，项目支出</w:t>
      </w:r>
      <w:r w:rsidR="00B75A0F">
        <w:rPr>
          <w:rFonts w:hint="eastAsia"/>
          <w:sz w:val="32"/>
          <w:szCs w:val="32"/>
        </w:rPr>
        <w:t>602.76</w:t>
      </w:r>
      <w:r>
        <w:rPr>
          <w:sz w:val="32"/>
          <w:szCs w:val="32"/>
        </w:rPr>
        <w:t>万元。</w:t>
      </w:r>
    </w:p>
    <w:p w:rsidR="00FB1FC5" w:rsidRDefault="004B328B">
      <w:pPr>
        <w:spacing w:line="600" w:lineRule="exact"/>
        <w:ind w:firstLineChars="200" w:firstLine="640"/>
        <w:rPr>
          <w:sz w:val="32"/>
          <w:szCs w:val="32"/>
        </w:rPr>
      </w:pPr>
      <w:r>
        <w:rPr>
          <w:sz w:val="32"/>
          <w:szCs w:val="32"/>
        </w:rPr>
        <w:t>2.</w:t>
      </w:r>
      <w:r>
        <w:rPr>
          <w:sz w:val="32"/>
          <w:szCs w:val="32"/>
        </w:rPr>
        <w:t>部门决算情况（含年中预算追加情况）</w:t>
      </w:r>
    </w:p>
    <w:p w:rsidR="00963219" w:rsidRDefault="004B328B" w:rsidP="00C5525F">
      <w:pPr>
        <w:snapToGrid w:val="0"/>
        <w:spacing w:line="520" w:lineRule="exact"/>
        <w:ind w:firstLineChars="200" w:firstLine="640"/>
        <w:rPr>
          <w:sz w:val="32"/>
          <w:szCs w:val="32"/>
        </w:rPr>
      </w:pPr>
      <w:r>
        <w:rPr>
          <w:sz w:val="32"/>
          <w:szCs w:val="32"/>
        </w:rPr>
        <w:t>2023</w:t>
      </w:r>
      <w:r>
        <w:rPr>
          <w:sz w:val="32"/>
          <w:szCs w:val="32"/>
        </w:rPr>
        <w:t>年决算总收入</w:t>
      </w:r>
      <w:r w:rsidR="00B75A0F">
        <w:rPr>
          <w:rFonts w:hint="eastAsia"/>
          <w:sz w:val="32"/>
          <w:szCs w:val="32"/>
        </w:rPr>
        <w:t>2200.2</w:t>
      </w:r>
      <w:r>
        <w:rPr>
          <w:sz w:val="32"/>
          <w:szCs w:val="32"/>
        </w:rPr>
        <w:t>万元，较预算增加</w:t>
      </w:r>
      <w:r w:rsidR="00861938">
        <w:rPr>
          <w:rFonts w:hint="eastAsia"/>
          <w:sz w:val="32"/>
          <w:szCs w:val="32"/>
        </w:rPr>
        <w:t>281.2</w:t>
      </w:r>
      <w:r w:rsidR="00963219">
        <w:rPr>
          <w:rFonts w:hint="eastAsia"/>
          <w:sz w:val="32"/>
          <w:szCs w:val="32"/>
        </w:rPr>
        <w:t>5</w:t>
      </w:r>
      <w:r>
        <w:rPr>
          <w:sz w:val="32"/>
          <w:szCs w:val="32"/>
        </w:rPr>
        <w:t>万元，总支出</w:t>
      </w:r>
      <w:r w:rsidR="00861938">
        <w:rPr>
          <w:rFonts w:hint="eastAsia"/>
          <w:sz w:val="32"/>
          <w:szCs w:val="32"/>
        </w:rPr>
        <w:t>2201.16</w:t>
      </w:r>
      <w:r>
        <w:rPr>
          <w:sz w:val="32"/>
          <w:szCs w:val="32"/>
        </w:rPr>
        <w:t>万元，其中：基本支出</w:t>
      </w:r>
      <w:r w:rsidR="00C5525F">
        <w:rPr>
          <w:rFonts w:hint="eastAsia"/>
          <w:sz w:val="32"/>
          <w:szCs w:val="32"/>
        </w:rPr>
        <w:t>1152.84</w:t>
      </w:r>
      <w:r>
        <w:rPr>
          <w:sz w:val="32"/>
          <w:szCs w:val="32"/>
        </w:rPr>
        <w:t>万元，占总支出的</w:t>
      </w:r>
      <w:r w:rsidR="00C5525F">
        <w:rPr>
          <w:rFonts w:hint="eastAsia"/>
          <w:sz w:val="32"/>
          <w:szCs w:val="32"/>
        </w:rPr>
        <w:t>52.37</w:t>
      </w:r>
      <w:r>
        <w:rPr>
          <w:sz w:val="32"/>
          <w:szCs w:val="32"/>
        </w:rPr>
        <w:t>％；项目支出</w:t>
      </w:r>
      <w:r w:rsidR="00C5525F">
        <w:rPr>
          <w:rFonts w:hint="eastAsia"/>
          <w:sz w:val="32"/>
          <w:szCs w:val="32"/>
        </w:rPr>
        <w:t>1048.32</w:t>
      </w:r>
      <w:r>
        <w:rPr>
          <w:sz w:val="32"/>
          <w:szCs w:val="32"/>
        </w:rPr>
        <w:t>万元，占总支出的</w:t>
      </w:r>
      <w:r w:rsidR="00C5525F">
        <w:rPr>
          <w:rFonts w:hint="eastAsia"/>
          <w:sz w:val="32"/>
          <w:szCs w:val="32"/>
        </w:rPr>
        <w:t>47.63</w:t>
      </w:r>
      <w:r>
        <w:rPr>
          <w:sz w:val="32"/>
          <w:szCs w:val="32"/>
        </w:rPr>
        <w:t>％。</w:t>
      </w:r>
    </w:p>
    <w:p w:rsidR="00C5525F" w:rsidRDefault="004B328B" w:rsidP="00C5525F">
      <w:pPr>
        <w:snapToGrid w:val="0"/>
        <w:spacing w:line="520" w:lineRule="exact"/>
        <w:ind w:firstLineChars="200" w:firstLine="640"/>
        <w:rPr>
          <w:rFonts w:ascii="仿宋_GB2312" w:hAnsi="仿宋"/>
          <w:sz w:val="32"/>
          <w:szCs w:val="32"/>
        </w:rPr>
      </w:pPr>
      <w:r>
        <w:rPr>
          <w:sz w:val="32"/>
          <w:szCs w:val="32"/>
        </w:rPr>
        <w:t>差异产生的主要原因是</w:t>
      </w:r>
      <w:r w:rsidR="00963219">
        <w:rPr>
          <w:rFonts w:ascii="仿宋_GB2312" w:hAnsi="仿宋" w:hint="eastAsia"/>
          <w:sz w:val="32"/>
          <w:szCs w:val="32"/>
        </w:rPr>
        <w:t>信息安全事务收入由县统筹，未纳入预算；其他纪检监察事务收入是中央转移支付资金；政府相关事务是非税收入执收成本返回。</w:t>
      </w:r>
      <w:r w:rsidR="00C5525F">
        <w:rPr>
          <w:rFonts w:ascii="仿宋_GB2312" w:hAnsi="仿宋" w:hint="eastAsia"/>
          <w:sz w:val="32"/>
          <w:szCs w:val="32"/>
        </w:rPr>
        <w:t>具体为2013704信息安全事务增加52.29万元、2011199其他纪检监察事务收入增加14.04万元、2010399政府相关事务收入增加30.33万元、2011101行政运行上年度结转收入增加68.63万元（含结转结余0.96万元）、2080801死亡抚恤增加60.09万元、2240199其他应急管理收入增加56.83万元</w:t>
      </w:r>
      <w:r w:rsidR="00963219">
        <w:rPr>
          <w:rFonts w:ascii="仿宋_GB2312" w:hAnsi="仿宋" w:hint="eastAsia"/>
          <w:sz w:val="32"/>
          <w:szCs w:val="32"/>
        </w:rPr>
        <w:t>，其他收入0.5万元</w:t>
      </w:r>
      <w:r w:rsidR="00C5525F">
        <w:rPr>
          <w:rFonts w:ascii="仿宋_GB2312" w:hAnsi="仿宋" w:hint="eastAsia"/>
          <w:sz w:val="32"/>
          <w:szCs w:val="32"/>
        </w:rPr>
        <w:t>。</w:t>
      </w:r>
    </w:p>
    <w:p w:rsidR="00FB1FC5" w:rsidRPr="004B4D37" w:rsidRDefault="004B328B" w:rsidP="004B4D37">
      <w:pPr>
        <w:snapToGrid w:val="0"/>
        <w:spacing w:line="500" w:lineRule="exact"/>
        <w:ind w:firstLineChars="200" w:firstLine="640"/>
        <w:rPr>
          <w:rFonts w:ascii="楷体_GB2312" w:eastAsia="楷体_GB2312" w:cs="楷体_GB2312"/>
          <w:color w:val="000000"/>
          <w:sz w:val="32"/>
          <w:szCs w:val="32"/>
          <w:shd w:val="clear" w:color="auto" w:fill="FFFFFF"/>
        </w:rPr>
      </w:pPr>
      <w:r w:rsidRPr="004B4D37">
        <w:rPr>
          <w:rFonts w:ascii="楷体_GB2312" w:eastAsia="楷体_GB2312" w:cs="楷体_GB2312"/>
          <w:color w:val="000000"/>
          <w:sz w:val="32"/>
          <w:szCs w:val="32"/>
          <w:shd w:val="clear" w:color="auto" w:fill="FFFFFF"/>
        </w:rPr>
        <w:t>（二）部门预算执行情况</w:t>
      </w:r>
    </w:p>
    <w:p w:rsidR="00FB1FC5" w:rsidRDefault="004B328B">
      <w:pPr>
        <w:spacing w:line="600" w:lineRule="exact"/>
        <w:ind w:firstLineChars="200" w:firstLine="640"/>
        <w:rPr>
          <w:sz w:val="32"/>
          <w:szCs w:val="32"/>
        </w:rPr>
      </w:pPr>
      <w:r>
        <w:rPr>
          <w:rFonts w:hint="eastAsia"/>
          <w:sz w:val="32"/>
          <w:szCs w:val="32"/>
        </w:rPr>
        <w:t>1</w:t>
      </w:r>
      <w:r>
        <w:rPr>
          <w:sz w:val="32"/>
          <w:szCs w:val="32"/>
        </w:rPr>
        <w:t>.“</w:t>
      </w:r>
      <w:r>
        <w:rPr>
          <w:sz w:val="32"/>
          <w:szCs w:val="32"/>
        </w:rPr>
        <w:t>三公</w:t>
      </w:r>
      <w:r>
        <w:rPr>
          <w:rFonts w:hint="eastAsia"/>
          <w:sz w:val="32"/>
          <w:szCs w:val="32"/>
        </w:rPr>
        <w:t>”</w:t>
      </w:r>
      <w:r>
        <w:rPr>
          <w:sz w:val="32"/>
          <w:szCs w:val="32"/>
        </w:rPr>
        <w:t>经费执行情况</w:t>
      </w:r>
    </w:p>
    <w:p w:rsidR="00FB1FC5" w:rsidRDefault="004B328B">
      <w:pPr>
        <w:spacing w:line="600" w:lineRule="exact"/>
        <w:ind w:firstLineChars="200" w:firstLine="640"/>
        <w:rPr>
          <w:sz w:val="32"/>
          <w:szCs w:val="32"/>
        </w:rPr>
      </w:pPr>
      <w:r>
        <w:rPr>
          <w:sz w:val="32"/>
          <w:szCs w:val="32"/>
        </w:rPr>
        <w:t>2023</w:t>
      </w:r>
      <w:r>
        <w:rPr>
          <w:sz w:val="32"/>
          <w:szCs w:val="32"/>
        </w:rPr>
        <w:t>年</w:t>
      </w:r>
      <w:r>
        <w:rPr>
          <w:sz w:val="32"/>
          <w:szCs w:val="32"/>
        </w:rPr>
        <w:t>“</w:t>
      </w:r>
      <w:r>
        <w:rPr>
          <w:sz w:val="32"/>
          <w:szCs w:val="32"/>
        </w:rPr>
        <w:t>三公</w:t>
      </w:r>
      <w:r>
        <w:rPr>
          <w:rFonts w:hint="eastAsia"/>
          <w:sz w:val="32"/>
          <w:szCs w:val="32"/>
        </w:rPr>
        <w:t>”</w:t>
      </w:r>
      <w:r>
        <w:rPr>
          <w:sz w:val="32"/>
          <w:szCs w:val="32"/>
        </w:rPr>
        <w:t>经费预算数</w:t>
      </w:r>
      <w:r w:rsidR="004361E1">
        <w:rPr>
          <w:rFonts w:hint="eastAsia"/>
          <w:sz w:val="32"/>
          <w:szCs w:val="32"/>
        </w:rPr>
        <w:t>17.5</w:t>
      </w:r>
      <w:r>
        <w:rPr>
          <w:sz w:val="32"/>
          <w:szCs w:val="32"/>
        </w:rPr>
        <w:t>万元，其中：因公出国（境）费</w:t>
      </w:r>
      <w:r w:rsidR="004361E1">
        <w:rPr>
          <w:rFonts w:hint="eastAsia"/>
          <w:sz w:val="32"/>
          <w:szCs w:val="32"/>
        </w:rPr>
        <w:t>0</w:t>
      </w:r>
      <w:r>
        <w:rPr>
          <w:sz w:val="32"/>
          <w:szCs w:val="32"/>
        </w:rPr>
        <w:t>元，公务用车购置及运行维护费</w:t>
      </w:r>
      <w:r w:rsidR="004361E1">
        <w:rPr>
          <w:rFonts w:hint="eastAsia"/>
          <w:sz w:val="32"/>
          <w:szCs w:val="32"/>
        </w:rPr>
        <w:t>14.5</w:t>
      </w:r>
      <w:r>
        <w:rPr>
          <w:sz w:val="32"/>
          <w:szCs w:val="32"/>
        </w:rPr>
        <w:t>万元，公务接待费</w:t>
      </w:r>
      <w:r w:rsidR="004361E1">
        <w:rPr>
          <w:rFonts w:hint="eastAsia"/>
          <w:sz w:val="32"/>
          <w:szCs w:val="32"/>
        </w:rPr>
        <w:t>3</w:t>
      </w:r>
      <w:r>
        <w:rPr>
          <w:sz w:val="32"/>
          <w:szCs w:val="32"/>
        </w:rPr>
        <w:t>万</w:t>
      </w:r>
      <w:r>
        <w:rPr>
          <w:sz w:val="32"/>
          <w:szCs w:val="32"/>
        </w:rPr>
        <w:lastRenderedPageBreak/>
        <w:t>元。</w:t>
      </w:r>
      <w:r>
        <w:rPr>
          <w:sz w:val="32"/>
          <w:szCs w:val="32"/>
        </w:rPr>
        <w:t>“</w:t>
      </w:r>
      <w:r>
        <w:rPr>
          <w:sz w:val="32"/>
          <w:szCs w:val="32"/>
        </w:rPr>
        <w:t>三公</w:t>
      </w:r>
      <w:r>
        <w:rPr>
          <w:rFonts w:hint="eastAsia"/>
          <w:sz w:val="32"/>
          <w:szCs w:val="32"/>
        </w:rPr>
        <w:t>”</w:t>
      </w:r>
      <w:r>
        <w:rPr>
          <w:sz w:val="32"/>
          <w:szCs w:val="32"/>
        </w:rPr>
        <w:t>经费决算数</w:t>
      </w:r>
      <w:r w:rsidR="004361E1">
        <w:rPr>
          <w:rFonts w:hint="eastAsia"/>
          <w:sz w:val="32"/>
          <w:szCs w:val="32"/>
        </w:rPr>
        <w:t>17.23</w:t>
      </w:r>
      <w:r>
        <w:rPr>
          <w:sz w:val="32"/>
          <w:szCs w:val="32"/>
        </w:rPr>
        <w:t>元，其中：因公出国（境）费</w:t>
      </w:r>
      <w:r w:rsidR="004361E1">
        <w:rPr>
          <w:rFonts w:hint="eastAsia"/>
          <w:sz w:val="32"/>
          <w:szCs w:val="32"/>
        </w:rPr>
        <w:t>0</w:t>
      </w:r>
      <w:r>
        <w:rPr>
          <w:sz w:val="32"/>
          <w:szCs w:val="32"/>
        </w:rPr>
        <w:t>万元，公务用车运行维护费</w:t>
      </w:r>
      <w:r w:rsidR="004361E1">
        <w:rPr>
          <w:rFonts w:hint="eastAsia"/>
          <w:sz w:val="32"/>
          <w:szCs w:val="32"/>
        </w:rPr>
        <w:t>14.24</w:t>
      </w:r>
      <w:r>
        <w:rPr>
          <w:sz w:val="32"/>
          <w:szCs w:val="32"/>
        </w:rPr>
        <w:t>万元，公务接待费</w:t>
      </w:r>
      <w:r w:rsidR="004361E1">
        <w:rPr>
          <w:rFonts w:hint="eastAsia"/>
          <w:sz w:val="32"/>
          <w:szCs w:val="32"/>
        </w:rPr>
        <w:t>2.99</w:t>
      </w:r>
      <w:r>
        <w:rPr>
          <w:sz w:val="32"/>
          <w:szCs w:val="32"/>
        </w:rPr>
        <w:t>万元。</w:t>
      </w:r>
    </w:p>
    <w:p w:rsidR="00FB1FC5" w:rsidRDefault="004B328B">
      <w:pPr>
        <w:spacing w:line="600" w:lineRule="exact"/>
        <w:ind w:firstLineChars="200" w:firstLine="640"/>
        <w:rPr>
          <w:sz w:val="32"/>
          <w:szCs w:val="32"/>
        </w:rPr>
      </w:pPr>
      <w:r>
        <w:rPr>
          <w:rFonts w:hint="eastAsia"/>
          <w:sz w:val="32"/>
          <w:szCs w:val="32"/>
        </w:rPr>
        <w:t>2</w:t>
      </w:r>
      <w:r>
        <w:rPr>
          <w:sz w:val="32"/>
          <w:szCs w:val="32"/>
        </w:rPr>
        <w:t>.</w:t>
      </w:r>
      <w:r>
        <w:rPr>
          <w:sz w:val="32"/>
          <w:szCs w:val="32"/>
        </w:rPr>
        <w:t>政府采购执行情况</w:t>
      </w:r>
    </w:p>
    <w:p w:rsidR="00686731" w:rsidRDefault="004B328B" w:rsidP="00686731">
      <w:pPr>
        <w:spacing w:line="600" w:lineRule="exact"/>
        <w:ind w:firstLineChars="200" w:firstLine="640"/>
        <w:rPr>
          <w:sz w:val="32"/>
          <w:szCs w:val="32"/>
        </w:rPr>
      </w:pPr>
      <w:r>
        <w:rPr>
          <w:sz w:val="32"/>
          <w:szCs w:val="32"/>
        </w:rPr>
        <w:t>2023</w:t>
      </w:r>
      <w:r>
        <w:rPr>
          <w:sz w:val="32"/>
          <w:szCs w:val="32"/>
        </w:rPr>
        <w:t>年度政府采购支出</w:t>
      </w:r>
      <w:r w:rsidR="004361E1">
        <w:rPr>
          <w:rFonts w:hint="eastAsia"/>
          <w:sz w:val="32"/>
          <w:szCs w:val="32"/>
        </w:rPr>
        <w:t>36.96</w:t>
      </w:r>
      <w:r>
        <w:rPr>
          <w:sz w:val="32"/>
          <w:szCs w:val="32"/>
        </w:rPr>
        <w:t>万元，其中：货物</w:t>
      </w:r>
      <w:r w:rsidR="004361E1">
        <w:rPr>
          <w:rFonts w:hint="eastAsia"/>
          <w:sz w:val="32"/>
          <w:szCs w:val="32"/>
        </w:rPr>
        <w:t>21.64</w:t>
      </w:r>
      <w:r>
        <w:rPr>
          <w:sz w:val="32"/>
          <w:szCs w:val="32"/>
        </w:rPr>
        <w:t>元，工程</w:t>
      </w:r>
      <w:r w:rsidR="004361E1">
        <w:rPr>
          <w:rFonts w:hint="eastAsia"/>
          <w:sz w:val="32"/>
          <w:szCs w:val="32"/>
        </w:rPr>
        <w:t>0</w:t>
      </w:r>
      <w:r>
        <w:rPr>
          <w:sz w:val="32"/>
          <w:szCs w:val="32"/>
        </w:rPr>
        <w:t>万元，服务</w:t>
      </w:r>
      <w:r w:rsidR="004361E1">
        <w:rPr>
          <w:rFonts w:hint="eastAsia"/>
          <w:sz w:val="32"/>
          <w:szCs w:val="32"/>
        </w:rPr>
        <w:t>15.32</w:t>
      </w:r>
      <w:r>
        <w:rPr>
          <w:sz w:val="32"/>
          <w:szCs w:val="32"/>
        </w:rPr>
        <w:t>万元。</w:t>
      </w:r>
    </w:p>
    <w:p w:rsidR="00FB1FC5" w:rsidRPr="00686731" w:rsidRDefault="004B328B" w:rsidP="00686731">
      <w:pPr>
        <w:pStyle w:val="a4"/>
        <w:numPr>
          <w:ilvl w:val="0"/>
          <w:numId w:val="2"/>
        </w:numPr>
        <w:spacing w:line="600" w:lineRule="exact"/>
        <w:ind w:firstLineChars="0"/>
        <w:rPr>
          <w:rFonts w:ascii="黑体" w:eastAsia="黑体" w:hAnsi="黑体" w:cs="黑体"/>
          <w:color w:val="000000"/>
          <w:sz w:val="32"/>
          <w:szCs w:val="32"/>
          <w:shd w:val="clear" w:color="auto" w:fill="FFFFFF"/>
        </w:rPr>
      </w:pPr>
      <w:r w:rsidRPr="00686731">
        <w:rPr>
          <w:rFonts w:ascii="黑体" w:eastAsia="黑体" w:hAnsi="黑体" w:cs="黑体" w:hint="eastAsia"/>
          <w:color w:val="000000"/>
          <w:sz w:val="32"/>
          <w:szCs w:val="32"/>
          <w:shd w:val="clear" w:color="auto" w:fill="FFFFFF"/>
        </w:rPr>
        <w:t>政府性基金预算支出情况</w:t>
      </w:r>
    </w:p>
    <w:p w:rsidR="00686731" w:rsidRDefault="004361E1" w:rsidP="00686731">
      <w:pPr>
        <w:pStyle w:val="1"/>
        <w:widowControl/>
        <w:spacing w:line="560" w:lineRule="exact"/>
        <w:ind w:firstLine="640"/>
        <w:jc w:val="left"/>
        <w:rPr>
          <w:kern w:val="0"/>
          <w:sz w:val="32"/>
          <w:szCs w:val="32"/>
        </w:rPr>
      </w:pPr>
      <w:r>
        <w:rPr>
          <w:rFonts w:hint="eastAsia"/>
          <w:kern w:val="0"/>
          <w:sz w:val="32"/>
          <w:szCs w:val="32"/>
        </w:rPr>
        <w:t>无</w:t>
      </w:r>
      <w:r w:rsidR="004B328B">
        <w:rPr>
          <w:rFonts w:hint="eastAsia"/>
          <w:kern w:val="0"/>
          <w:sz w:val="32"/>
          <w:szCs w:val="32"/>
        </w:rPr>
        <w:t>政府性基金</w:t>
      </w:r>
      <w:r>
        <w:rPr>
          <w:rFonts w:hint="eastAsia"/>
          <w:kern w:val="0"/>
          <w:sz w:val="32"/>
          <w:szCs w:val="32"/>
        </w:rPr>
        <w:t>预算支出</w:t>
      </w:r>
      <w:r w:rsidR="004B328B">
        <w:rPr>
          <w:rFonts w:hint="eastAsia"/>
          <w:kern w:val="0"/>
          <w:sz w:val="32"/>
          <w:szCs w:val="32"/>
        </w:rPr>
        <w:t>。</w:t>
      </w:r>
    </w:p>
    <w:p w:rsidR="00FB1FC5" w:rsidRDefault="004B328B" w:rsidP="00686731">
      <w:pPr>
        <w:pStyle w:val="1"/>
        <w:widowControl/>
        <w:numPr>
          <w:ilvl w:val="0"/>
          <w:numId w:val="2"/>
        </w:numPr>
        <w:spacing w:line="560" w:lineRule="exact"/>
        <w:ind w:firstLineChars="0"/>
        <w:jc w:val="lef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国有资本经营预算支出情况</w:t>
      </w:r>
    </w:p>
    <w:p w:rsidR="00686731" w:rsidRDefault="004361E1" w:rsidP="00686731">
      <w:pPr>
        <w:pStyle w:val="a3"/>
        <w:widowControl/>
        <w:shd w:val="clear" w:color="auto" w:fill="FFFFFF"/>
        <w:snapToGrid w:val="0"/>
        <w:spacing w:beforeAutospacing="0" w:afterAutospacing="0" w:line="520" w:lineRule="exact"/>
        <w:ind w:firstLineChars="200" w:firstLine="640"/>
        <w:rPr>
          <w:rFonts w:ascii="黑体" w:eastAsia="黑体" w:hAnsi="黑体" w:cs="黑体"/>
          <w:color w:val="000000"/>
          <w:sz w:val="32"/>
          <w:szCs w:val="32"/>
          <w:shd w:val="clear" w:color="auto" w:fill="FFFFFF"/>
        </w:rPr>
      </w:pPr>
      <w:r>
        <w:rPr>
          <w:rFonts w:hint="eastAsia"/>
          <w:sz w:val="32"/>
          <w:szCs w:val="32"/>
        </w:rPr>
        <w:t>无</w:t>
      </w:r>
      <w:r w:rsidR="004B328B">
        <w:rPr>
          <w:rFonts w:hint="eastAsia"/>
          <w:sz w:val="32"/>
          <w:szCs w:val="32"/>
        </w:rPr>
        <w:t>国有资本经营</w:t>
      </w:r>
      <w:r>
        <w:rPr>
          <w:rFonts w:hint="eastAsia"/>
          <w:sz w:val="32"/>
          <w:szCs w:val="32"/>
        </w:rPr>
        <w:t>预算支出。</w:t>
      </w:r>
    </w:p>
    <w:p w:rsidR="00FB1FC5" w:rsidRPr="00686731" w:rsidRDefault="00686731" w:rsidP="00686731">
      <w:pPr>
        <w:pStyle w:val="a3"/>
        <w:widowControl/>
        <w:shd w:val="clear" w:color="auto" w:fill="FFFFFF"/>
        <w:snapToGrid w:val="0"/>
        <w:spacing w:beforeAutospacing="0" w:afterAutospacing="0" w:line="520" w:lineRule="exact"/>
        <w:ind w:firstLineChars="200" w:firstLine="640"/>
        <w:rPr>
          <w:rFonts w:ascii="黑体" w:eastAsia="黑体" w:hAnsi="黑体" w:cs="黑体"/>
          <w:color w:val="000000"/>
          <w:kern w:val="2"/>
          <w:sz w:val="32"/>
          <w:szCs w:val="32"/>
          <w:shd w:val="clear" w:color="auto" w:fill="FFFFFF"/>
        </w:rPr>
      </w:pPr>
      <w:r w:rsidRPr="00686731">
        <w:rPr>
          <w:rFonts w:ascii="黑体" w:eastAsia="黑体" w:hAnsi="黑体" w:cs="黑体" w:hint="eastAsia"/>
          <w:color w:val="000000"/>
          <w:kern w:val="2"/>
          <w:sz w:val="32"/>
          <w:szCs w:val="32"/>
          <w:shd w:val="clear" w:color="auto" w:fill="FFFFFF"/>
        </w:rPr>
        <w:t>五、</w:t>
      </w:r>
      <w:r w:rsidR="004B328B" w:rsidRPr="00686731">
        <w:rPr>
          <w:rFonts w:ascii="黑体" w:eastAsia="黑体" w:hAnsi="黑体" w:cs="黑体" w:hint="eastAsia"/>
          <w:color w:val="000000"/>
          <w:kern w:val="2"/>
          <w:sz w:val="32"/>
          <w:szCs w:val="32"/>
          <w:shd w:val="clear" w:color="auto" w:fill="FFFFFF"/>
        </w:rPr>
        <w:t>社会保险基金预算支出情况</w:t>
      </w:r>
    </w:p>
    <w:p w:rsidR="00686731" w:rsidRDefault="004361E1" w:rsidP="00686731">
      <w:pPr>
        <w:pStyle w:val="1"/>
        <w:widowControl/>
        <w:spacing w:line="560" w:lineRule="exact"/>
        <w:ind w:firstLine="640"/>
        <w:jc w:val="left"/>
        <w:rPr>
          <w:kern w:val="0"/>
          <w:sz w:val="32"/>
          <w:szCs w:val="32"/>
        </w:rPr>
      </w:pPr>
      <w:r>
        <w:rPr>
          <w:rFonts w:hint="eastAsia"/>
          <w:kern w:val="0"/>
          <w:sz w:val="32"/>
          <w:szCs w:val="32"/>
        </w:rPr>
        <w:t>无</w:t>
      </w:r>
      <w:r w:rsidR="004B328B">
        <w:rPr>
          <w:rFonts w:hint="eastAsia"/>
          <w:kern w:val="0"/>
          <w:sz w:val="32"/>
          <w:szCs w:val="32"/>
        </w:rPr>
        <w:t>社会保险基金的资金</w:t>
      </w:r>
      <w:r>
        <w:rPr>
          <w:rFonts w:hint="eastAsia"/>
          <w:kern w:val="0"/>
          <w:sz w:val="32"/>
          <w:szCs w:val="32"/>
        </w:rPr>
        <w:t>预算支出</w:t>
      </w:r>
    </w:p>
    <w:p w:rsidR="00686731" w:rsidRPr="00686731" w:rsidRDefault="00686731" w:rsidP="00686731">
      <w:pPr>
        <w:pStyle w:val="1"/>
        <w:widowControl/>
        <w:spacing w:line="560" w:lineRule="exact"/>
        <w:ind w:firstLine="640"/>
        <w:jc w:val="left"/>
        <w:rPr>
          <w:rFonts w:ascii="黑体" w:eastAsia="黑体" w:hAnsi="黑体" w:cs="黑体"/>
          <w:color w:val="000000"/>
          <w:sz w:val="32"/>
          <w:szCs w:val="32"/>
          <w:shd w:val="clear" w:color="auto" w:fill="FFFFFF"/>
        </w:rPr>
      </w:pPr>
      <w:r>
        <w:rPr>
          <w:rFonts w:hint="eastAsia"/>
          <w:kern w:val="0"/>
          <w:sz w:val="32"/>
          <w:szCs w:val="32"/>
        </w:rPr>
        <w:t>六、</w:t>
      </w:r>
      <w:r w:rsidR="004B328B">
        <w:rPr>
          <w:rFonts w:ascii="黑体" w:eastAsia="黑体" w:hAnsi="黑体" w:cs="黑体" w:hint="eastAsia"/>
          <w:color w:val="000000"/>
          <w:sz w:val="32"/>
          <w:szCs w:val="32"/>
          <w:shd w:val="clear" w:color="auto" w:fill="FFFFFF"/>
        </w:rPr>
        <w:t>部门整体支出绩效情况</w:t>
      </w:r>
    </w:p>
    <w:p w:rsidR="00FB1FC5" w:rsidRPr="004B4D37" w:rsidRDefault="004B328B" w:rsidP="004B4D37">
      <w:pPr>
        <w:snapToGrid w:val="0"/>
        <w:spacing w:line="500" w:lineRule="exact"/>
        <w:ind w:firstLineChars="200" w:firstLine="64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（一）综合评价结论。</w:t>
      </w:r>
      <w:r w:rsidRPr="004B4D37">
        <w:rPr>
          <w:rFonts w:ascii="楷体_GB2312" w:eastAsia="楷体_GB2312" w:cs="楷体_GB2312"/>
          <w:color w:val="000000"/>
          <w:sz w:val="32"/>
          <w:szCs w:val="32"/>
          <w:shd w:val="clear" w:color="auto" w:fill="FFFFFF"/>
        </w:rPr>
        <w:t>反映自评得分及评价等级。</w:t>
      </w:r>
    </w:p>
    <w:p w:rsidR="006C2C17" w:rsidRDefault="006C2C17" w:rsidP="006C2C17">
      <w:pPr>
        <w:adjustRightInd w:val="0"/>
        <w:snapToGrid w:val="0"/>
        <w:spacing w:line="500" w:lineRule="exact"/>
        <w:ind w:firstLine="630"/>
        <w:rPr>
          <w:rFonts w:ascii="仿宋" w:eastAsia="仿宋" w:cs="仿宋"/>
          <w:sz w:val="32"/>
          <w:szCs w:val="32"/>
        </w:rPr>
      </w:pPr>
      <w:r w:rsidRPr="00802278">
        <w:rPr>
          <w:rFonts w:ascii="仿宋" w:eastAsia="仿宋" w:cs="仿宋" w:hint="eastAsia"/>
          <w:sz w:val="32"/>
          <w:szCs w:val="32"/>
        </w:rPr>
        <w:t>202</w:t>
      </w:r>
      <w:r w:rsidR="00000E0C">
        <w:rPr>
          <w:rFonts w:ascii="仿宋" w:eastAsia="仿宋" w:cs="仿宋" w:hint="eastAsia"/>
          <w:sz w:val="32"/>
          <w:szCs w:val="32"/>
        </w:rPr>
        <w:t>3</w:t>
      </w:r>
      <w:r w:rsidRPr="00802278">
        <w:rPr>
          <w:rFonts w:ascii="仿宋" w:eastAsia="仿宋" w:cs="仿宋" w:hint="eastAsia"/>
          <w:sz w:val="32"/>
          <w:szCs w:val="32"/>
        </w:rPr>
        <w:t>年，本单位严格按照省、市县相关考核要求，如期按时按质量完成各项工作指标。</w:t>
      </w:r>
    </w:p>
    <w:p w:rsidR="006C2C17" w:rsidRDefault="006C2C17" w:rsidP="006C2C17">
      <w:pPr>
        <w:adjustRightInd w:val="0"/>
        <w:snapToGrid w:val="0"/>
        <w:spacing w:line="500" w:lineRule="exact"/>
        <w:ind w:firstLine="630"/>
        <w:rPr>
          <w:rFonts w:ascii="仿宋" w:eastAsia="仿宋" w:cs="仿宋"/>
          <w:sz w:val="32"/>
          <w:szCs w:val="32"/>
        </w:rPr>
      </w:pPr>
      <w:r>
        <w:rPr>
          <w:rFonts w:ascii="仿宋" w:eastAsia="仿宋" w:cs="仿宋" w:hint="eastAsia"/>
          <w:sz w:val="32"/>
          <w:szCs w:val="32"/>
        </w:rPr>
        <w:t>整体支出绩效自评结果</w:t>
      </w:r>
    </w:p>
    <w:p w:rsidR="006C2C17" w:rsidRDefault="006C2C17" w:rsidP="006C2C17">
      <w:pPr>
        <w:adjustRightInd w:val="0"/>
        <w:snapToGrid w:val="0"/>
        <w:spacing w:line="500" w:lineRule="exact"/>
        <w:ind w:firstLine="630"/>
        <w:rPr>
          <w:rFonts w:ascii="仿宋" w:eastAsia="仿宋" w:cs="仿宋"/>
          <w:sz w:val="32"/>
          <w:szCs w:val="32"/>
        </w:rPr>
      </w:pPr>
      <w:r>
        <w:rPr>
          <w:rFonts w:ascii="仿宋" w:eastAsia="仿宋" w:cs="仿宋" w:hint="eastAsia"/>
          <w:sz w:val="32"/>
          <w:szCs w:val="32"/>
        </w:rPr>
        <w:t>１、编制数106个，实际在职人数9</w:t>
      </w:r>
      <w:r w:rsidR="00EE2A52">
        <w:rPr>
          <w:rFonts w:ascii="仿宋" w:eastAsia="仿宋" w:cs="仿宋" w:hint="eastAsia"/>
          <w:sz w:val="32"/>
          <w:szCs w:val="32"/>
        </w:rPr>
        <w:t>4</w:t>
      </w:r>
      <w:r>
        <w:rPr>
          <w:rFonts w:ascii="仿宋" w:eastAsia="仿宋" w:cs="仿宋" w:hint="eastAsia"/>
          <w:sz w:val="32"/>
          <w:szCs w:val="32"/>
        </w:rPr>
        <w:t>个，控制率8</w:t>
      </w:r>
      <w:r w:rsidR="00EE2A52">
        <w:rPr>
          <w:rFonts w:ascii="仿宋" w:eastAsia="仿宋" w:cs="仿宋" w:hint="eastAsia"/>
          <w:sz w:val="32"/>
          <w:szCs w:val="32"/>
        </w:rPr>
        <w:t>8.68</w:t>
      </w:r>
      <w:r>
        <w:rPr>
          <w:rFonts w:ascii="仿宋" w:eastAsia="仿宋" w:cs="仿宋" w:hint="eastAsia"/>
          <w:sz w:val="32"/>
          <w:szCs w:val="32"/>
        </w:rPr>
        <w:t>%；</w:t>
      </w:r>
    </w:p>
    <w:p w:rsidR="006C2C17" w:rsidRDefault="006C2C17" w:rsidP="006C2C17">
      <w:pPr>
        <w:adjustRightInd w:val="0"/>
        <w:snapToGrid w:val="0"/>
        <w:spacing w:line="500" w:lineRule="exact"/>
        <w:ind w:firstLine="630"/>
        <w:rPr>
          <w:rFonts w:ascii="仿宋" w:eastAsia="仿宋" w:cs="仿宋"/>
          <w:sz w:val="32"/>
          <w:szCs w:val="32"/>
        </w:rPr>
      </w:pPr>
      <w:r>
        <w:rPr>
          <w:rFonts w:ascii="仿宋" w:eastAsia="仿宋" w:cs="仿宋" w:hint="eastAsia"/>
          <w:sz w:val="32"/>
          <w:szCs w:val="32"/>
        </w:rPr>
        <w:t>２、</w:t>
      </w:r>
      <w:r w:rsidR="007A66A1">
        <w:rPr>
          <w:rFonts w:ascii="仿宋" w:eastAsia="仿宋" w:cs="仿宋" w:hint="eastAsia"/>
          <w:sz w:val="32"/>
          <w:szCs w:val="32"/>
        </w:rPr>
        <w:t>全年预算数2200.2万元，全年执行数2201.16万元，用结余列支0.96万元，预算执行率100.04%。</w:t>
      </w:r>
    </w:p>
    <w:p w:rsidR="006C2C17" w:rsidRDefault="00686731" w:rsidP="006C2C17">
      <w:pPr>
        <w:adjustRightInd w:val="0"/>
        <w:snapToGrid w:val="0"/>
        <w:spacing w:line="500" w:lineRule="exact"/>
        <w:ind w:firstLineChars="200" w:firstLine="640"/>
        <w:rPr>
          <w:rFonts w:ascii="仿宋" w:eastAsia="仿宋" w:cs="仿宋"/>
          <w:sz w:val="32"/>
          <w:szCs w:val="32"/>
        </w:rPr>
      </w:pPr>
      <w:r>
        <w:rPr>
          <w:rFonts w:ascii="仿宋" w:eastAsia="仿宋" w:cs="仿宋" w:hint="eastAsia"/>
          <w:sz w:val="32"/>
          <w:szCs w:val="32"/>
        </w:rPr>
        <w:t>3</w:t>
      </w:r>
      <w:r w:rsidR="006C2C17">
        <w:rPr>
          <w:rFonts w:ascii="仿宋" w:eastAsia="仿宋" w:cs="仿宋" w:hint="eastAsia"/>
          <w:sz w:val="32"/>
          <w:szCs w:val="32"/>
        </w:rPr>
        <w:t>、厉行节约保障措施为单位没有单独设食堂，</w:t>
      </w:r>
      <w:r>
        <w:rPr>
          <w:rFonts w:ascii="仿宋" w:eastAsia="仿宋" w:cs="仿宋" w:hint="eastAsia"/>
          <w:sz w:val="32"/>
          <w:szCs w:val="32"/>
        </w:rPr>
        <w:t>降低外出出差住宿费标准，</w:t>
      </w:r>
      <w:r w:rsidR="006C2C17">
        <w:rPr>
          <w:rFonts w:ascii="仿宋" w:eastAsia="仿宋" w:cs="仿宋" w:hint="eastAsia"/>
          <w:sz w:val="32"/>
          <w:szCs w:val="32"/>
        </w:rPr>
        <w:t>节约运行开支。</w:t>
      </w:r>
    </w:p>
    <w:p w:rsidR="006C2C17" w:rsidRDefault="006C2C17" w:rsidP="006C2C17">
      <w:pPr>
        <w:adjustRightInd w:val="0"/>
        <w:snapToGrid w:val="0"/>
        <w:spacing w:line="500" w:lineRule="exact"/>
        <w:ind w:firstLine="630"/>
        <w:rPr>
          <w:rFonts w:ascii="仿宋" w:eastAsia="仿宋" w:cs="仿宋"/>
          <w:sz w:val="32"/>
          <w:szCs w:val="32"/>
        </w:rPr>
      </w:pPr>
      <w:r>
        <w:rPr>
          <w:rFonts w:ascii="仿宋" w:eastAsia="仿宋" w:cs="仿宋" w:hint="eastAsia"/>
          <w:sz w:val="32"/>
          <w:szCs w:val="32"/>
        </w:rPr>
        <w:t>整体支出绩效自评分为98分</w:t>
      </w:r>
    </w:p>
    <w:p w:rsidR="006C2C17" w:rsidRDefault="006C2C17" w:rsidP="006C2C17">
      <w:pPr>
        <w:adjustRightInd w:val="0"/>
        <w:snapToGrid w:val="0"/>
        <w:spacing w:line="500" w:lineRule="exact"/>
        <w:ind w:firstLine="630"/>
        <w:rPr>
          <w:rFonts w:ascii="仿宋" w:eastAsia="仿宋" w:cs="仿宋"/>
          <w:sz w:val="32"/>
          <w:szCs w:val="32"/>
        </w:rPr>
      </w:pPr>
      <w:r>
        <w:rPr>
          <w:rFonts w:ascii="仿宋" w:eastAsia="仿宋" w:cs="仿宋" w:hint="eastAsia"/>
          <w:sz w:val="32"/>
          <w:szCs w:val="32"/>
        </w:rPr>
        <w:t>１、年度资金总额执行扣1分，全年预算</w:t>
      </w:r>
      <w:r w:rsidR="00686731">
        <w:rPr>
          <w:rFonts w:ascii="仿宋" w:eastAsia="仿宋" w:cs="仿宋" w:hint="eastAsia"/>
          <w:sz w:val="32"/>
          <w:szCs w:val="32"/>
        </w:rPr>
        <w:t>2200.2</w:t>
      </w:r>
      <w:r>
        <w:rPr>
          <w:rFonts w:ascii="仿宋" w:eastAsia="仿宋" w:cs="仿宋" w:hint="eastAsia"/>
          <w:sz w:val="32"/>
          <w:szCs w:val="32"/>
        </w:rPr>
        <w:t>万元，决算</w:t>
      </w:r>
      <w:r w:rsidR="00686731">
        <w:rPr>
          <w:rFonts w:ascii="仿宋" w:eastAsia="仿宋" w:cs="仿宋" w:hint="eastAsia"/>
          <w:sz w:val="32"/>
          <w:szCs w:val="32"/>
        </w:rPr>
        <w:t>2201.16</w:t>
      </w:r>
      <w:r>
        <w:rPr>
          <w:rFonts w:ascii="仿宋" w:eastAsia="仿宋" w:cs="仿宋" w:hint="eastAsia"/>
          <w:sz w:val="32"/>
          <w:szCs w:val="32"/>
        </w:rPr>
        <w:t>万元，执行率达100.0</w:t>
      </w:r>
      <w:r w:rsidR="00686731">
        <w:rPr>
          <w:rFonts w:ascii="仿宋" w:eastAsia="仿宋" w:cs="仿宋" w:hint="eastAsia"/>
          <w:sz w:val="32"/>
          <w:szCs w:val="32"/>
        </w:rPr>
        <w:t>4</w:t>
      </w:r>
      <w:r>
        <w:rPr>
          <w:rFonts w:ascii="仿宋" w:eastAsia="仿宋" w:cs="仿宋" w:hint="eastAsia"/>
          <w:sz w:val="32"/>
          <w:szCs w:val="32"/>
        </w:rPr>
        <w:t>%；</w:t>
      </w:r>
    </w:p>
    <w:p w:rsidR="006C2C17" w:rsidRDefault="006C2C17" w:rsidP="006C2C17">
      <w:pPr>
        <w:adjustRightInd w:val="0"/>
        <w:snapToGrid w:val="0"/>
        <w:spacing w:line="500" w:lineRule="exact"/>
        <w:ind w:firstLine="630"/>
        <w:rPr>
          <w:rFonts w:ascii="仿宋" w:eastAsia="仿宋" w:cs="仿宋"/>
          <w:sz w:val="32"/>
          <w:szCs w:val="32"/>
        </w:rPr>
      </w:pPr>
      <w:r>
        <w:rPr>
          <w:rFonts w:ascii="仿宋" w:eastAsia="仿宋" w:cs="仿宋" w:hint="eastAsia"/>
          <w:sz w:val="32"/>
          <w:szCs w:val="32"/>
        </w:rPr>
        <w:t>２、</w:t>
      </w:r>
      <w:r w:rsidR="00686731">
        <w:rPr>
          <w:rFonts w:ascii="仿宋" w:eastAsia="仿宋" w:cs="仿宋" w:hint="eastAsia"/>
          <w:sz w:val="32"/>
          <w:szCs w:val="32"/>
        </w:rPr>
        <w:t>成本</w:t>
      </w:r>
      <w:r>
        <w:rPr>
          <w:rFonts w:ascii="仿宋" w:eastAsia="仿宋" w:cs="仿宋" w:hint="eastAsia"/>
          <w:sz w:val="32"/>
          <w:szCs w:val="32"/>
        </w:rPr>
        <w:t>指标扣1分，成本指标超支</w:t>
      </w:r>
      <w:r w:rsidR="00686731">
        <w:rPr>
          <w:rFonts w:ascii="仿宋" w:eastAsia="仿宋" w:cs="仿宋" w:hint="eastAsia"/>
          <w:sz w:val="32"/>
          <w:szCs w:val="32"/>
        </w:rPr>
        <w:t>0.96</w:t>
      </w:r>
      <w:r>
        <w:rPr>
          <w:rFonts w:ascii="仿宋" w:eastAsia="仿宋" w:cs="仿宋" w:hint="eastAsia"/>
          <w:sz w:val="32"/>
          <w:szCs w:val="32"/>
        </w:rPr>
        <w:t>万元，形成原因是年初存在往来账导致；</w:t>
      </w:r>
    </w:p>
    <w:p w:rsidR="006C2C17" w:rsidRDefault="006C2C17" w:rsidP="006C2C17">
      <w:pPr>
        <w:spacing w:line="500" w:lineRule="exact"/>
        <w:ind w:firstLine="709"/>
        <w:rPr>
          <w:rFonts w:ascii="仿宋" w:eastAsia="仿宋" w:cs="仿宋"/>
          <w:sz w:val="32"/>
          <w:szCs w:val="32"/>
        </w:rPr>
      </w:pPr>
      <w:r w:rsidRPr="00802278">
        <w:rPr>
          <w:rFonts w:ascii="仿宋" w:eastAsia="仿宋" w:cs="仿宋" w:hint="eastAsia"/>
          <w:sz w:val="32"/>
          <w:szCs w:val="32"/>
        </w:rPr>
        <w:lastRenderedPageBreak/>
        <w:t>预决算</w:t>
      </w:r>
      <w:r>
        <w:rPr>
          <w:rFonts w:ascii="仿宋" w:eastAsia="仿宋" w:cs="仿宋" w:hint="eastAsia"/>
          <w:sz w:val="32"/>
          <w:szCs w:val="32"/>
        </w:rPr>
        <w:t>、绩效评价</w:t>
      </w:r>
      <w:r w:rsidRPr="00802278">
        <w:rPr>
          <w:rFonts w:ascii="仿宋" w:eastAsia="仿宋" w:cs="仿宋" w:hint="eastAsia"/>
          <w:sz w:val="32"/>
          <w:szCs w:val="32"/>
        </w:rPr>
        <w:t>信息公开</w:t>
      </w:r>
    </w:p>
    <w:p w:rsidR="00686731" w:rsidRDefault="006C2C17" w:rsidP="00686731">
      <w:pPr>
        <w:spacing w:line="500" w:lineRule="exact"/>
        <w:ind w:firstLine="709"/>
        <w:rPr>
          <w:rFonts w:ascii="仿宋" w:eastAsia="仿宋" w:cs="仿宋"/>
          <w:sz w:val="32"/>
          <w:szCs w:val="32"/>
        </w:rPr>
      </w:pPr>
      <w:r w:rsidRPr="00802278">
        <w:rPr>
          <w:rFonts w:ascii="仿宋" w:eastAsia="仿宋" w:cs="仿宋" w:hint="eastAsia"/>
          <w:sz w:val="32"/>
          <w:szCs w:val="32"/>
        </w:rPr>
        <w:t>按照政府信息公开有关规定按时公开相关预决算信息及财务状况信息，按规定内容、时限公开预决算信息，达到公开透明。</w:t>
      </w:r>
    </w:p>
    <w:p w:rsidR="00686731" w:rsidRPr="004B4D37" w:rsidRDefault="004B328B" w:rsidP="004B4D37">
      <w:pPr>
        <w:snapToGrid w:val="0"/>
        <w:spacing w:line="500" w:lineRule="exact"/>
        <w:ind w:firstLineChars="200" w:firstLine="640"/>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（二）综合评价情况</w:t>
      </w:r>
    </w:p>
    <w:p w:rsidR="00933178" w:rsidRPr="00686731" w:rsidRDefault="00933178" w:rsidP="00686731">
      <w:pPr>
        <w:spacing w:line="500" w:lineRule="exact"/>
        <w:ind w:firstLine="709"/>
        <w:rPr>
          <w:rFonts w:ascii="仿宋" w:eastAsia="仿宋" w:cs="仿宋"/>
          <w:sz w:val="32"/>
          <w:szCs w:val="32"/>
        </w:rPr>
      </w:pPr>
      <w:r w:rsidRPr="00C441DA">
        <w:rPr>
          <w:rFonts w:ascii="仿宋_GB2312" w:hAnsi="仿宋" w:hint="eastAsia"/>
          <w:sz w:val="32"/>
          <w:szCs w:val="32"/>
        </w:rPr>
        <w:t>2023年是全面贯彻党的二十大精神的开局之年，也是新冠疫情防控转段后经济恢复发展的一年，全委坚决扛起管党治党政治责任，以党的政治建设为统领，坚决贯彻党的自我革命战略部署和全面从严治党战略方针，忠诚履行党章和宪法赋予的职责，</w:t>
      </w:r>
      <w:r w:rsidRPr="00C441DA">
        <w:rPr>
          <w:rFonts w:ascii="仿宋_GB2312" w:hAnsi="仿宋"/>
          <w:sz w:val="32"/>
          <w:szCs w:val="32"/>
        </w:rPr>
        <w:t>坚持严的基调不动摇，</w:t>
      </w:r>
      <w:r w:rsidRPr="00C441DA">
        <w:rPr>
          <w:rFonts w:ascii="仿宋_GB2312" w:hAnsi="仿宋" w:hint="eastAsia"/>
          <w:sz w:val="32"/>
          <w:szCs w:val="32"/>
        </w:rPr>
        <w:t>一体推进不敢腐、不能腐、不想腐，政治生态持续向好，</w:t>
      </w:r>
      <w:r w:rsidRPr="00C441DA">
        <w:rPr>
          <w:rFonts w:ascii="仿宋_GB2312" w:hAnsi="仿宋"/>
          <w:sz w:val="32"/>
          <w:szCs w:val="32"/>
        </w:rPr>
        <w:t>为全县经济社会高质量发展</w:t>
      </w:r>
      <w:r w:rsidRPr="00C441DA">
        <w:rPr>
          <w:rFonts w:ascii="仿宋_GB2312" w:hAnsi="仿宋" w:hint="eastAsia"/>
          <w:sz w:val="32"/>
          <w:szCs w:val="32"/>
        </w:rPr>
        <w:t>营造了风清气正的政治环境</w:t>
      </w:r>
      <w:r w:rsidRPr="00C441DA">
        <w:rPr>
          <w:rFonts w:ascii="仿宋_GB2312" w:hAnsi="仿宋"/>
          <w:sz w:val="32"/>
          <w:szCs w:val="32"/>
        </w:rPr>
        <w:t>。</w:t>
      </w:r>
    </w:p>
    <w:p w:rsidR="00933178" w:rsidRDefault="00933178" w:rsidP="00933178">
      <w:pPr>
        <w:snapToGrid w:val="0"/>
        <w:spacing w:line="520" w:lineRule="exact"/>
        <w:ind w:firstLineChars="200" w:firstLine="640"/>
        <w:rPr>
          <w:rFonts w:ascii="仿宋_GB2312" w:hAnsi="仿宋"/>
          <w:sz w:val="32"/>
          <w:szCs w:val="32"/>
        </w:rPr>
      </w:pPr>
      <w:r w:rsidRPr="00C441DA">
        <w:rPr>
          <w:rFonts w:ascii="仿宋_GB2312" w:hAnsi="仿宋" w:hint="eastAsia"/>
          <w:sz w:val="32"/>
          <w:szCs w:val="32"/>
        </w:rPr>
        <w:t>2023年度整体支出2201.16万元，其中基本支出1152.84万元（人员支出1023.75万元；公用经费支出129.09万元），项目支出1048.32万元。</w:t>
      </w:r>
    </w:p>
    <w:p w:rsidR="00933178" w:rsidRDefault="00933178" w:rsidP="00933178">
      <w:pPr>
        <w:snapToGrid w:val="0"/>
        <w:spacing w:line="520" w:lineRule="exact"/>
        <w:ind w:firstLineChars="200" w:firstLine="640"/>
        <w:rPr>
          <w:rFonts w:ascii="仿宋_GB2312" w:hAnsi="仿宋"/>
          <w:sz w:val="32"/>
          <w:szCs w:val="32"/>
        </w:rPr>
      </w:pPr>
      <w:r>
        <w:rPr>
          <w:rFonts w:ascii="仿宋_GB2312" w:hAnsi="仿宋" w:hint="eastAsia"/>
          <w:sz w:val="32"/>
          <w:szCs w:val="32"/>
        </w:rPr>
        <w:t>整体支出绩效目标实现情况：</w:t>
      </w:r>
    </w:p>
    <w:p w:rsidR="00933178" w:rsidRPr="00C441DA" w:rsidRDefault="00933178" w:rsidP="00933178">
      <w:pPr>
        <w:snapToGrid w:val="0"/>
        <w:spacing w:line="520" w:lineRule="exact"/>
        <w:ind w:firstLineChars="200" w:firstLine="640"/>
        <w:rPr>
          <w:rFonts w:ascii="仿宋_GB2312" w:hAnsi="仿宋"/>
          <w:sz w:val="32"/>
          <w:szCs w:val="32"/>
        </w:rPr>
      </w:pPr>
      <w:r w:rsidRPr="00C441DA">
        <w:rPr>
          <w:rFonts w:ascii="仿宋_GB2312" w:hAnsi="仿宋" w:hint="eastAsia"/>
          <w:sz w:val="32"/>
          <w:szCs w:val="32"/>
        </w:rPr>
        <w:t>2023年度共查处涉农问题线索18起，处分61人，党纪政务处分15人，追缴资金123.42万元；围绕生态环境治理开展精准监督，持续深化“洞庭清波”常态化监督，督促完成西岩镇污水处理设备问题整改；围绕“一把手”和“关键少数”开展重点监督，全年处分县管干部23人，处分“一把手”8人；围绕领导干部利用职权或影响力为亲友牟利问题开展专项监督，起底问题线索10件，处理处分5人，收缴违纪资金150.98万元；严把党风廉政意见回复关，全年审慎规范出具廉政意见回复565人次，对不符合相关条件的2人提出否定或暂缓建议，确保拟任人选政治干净，防止带病提拔重用。</w:t>
      </w:r>
    </w:p>
    <w:p w:rsidR="00933178" w:rsidRPr="00C441DA" w:rsidRDefault="00933178" w:rsidP="00933178">
      <w:pPr>
        <w:spacing w:line="600" w:lineRule="exact"/>
        <w:ind w:firstLineChars="200" w:firstLine="640"/>
        <w:rPr>
          <w:rFonts w:ascii="仿宋_GB2312" w:hAnsi="仿宋"/>
          <w:sz w:val="32"/>
          <w:szCs w:val="32"/>
        </w:rPr>
      </w:pPr>
      <w:r w:rsidRPr="00C441DA">
        <w:rPr>
          <w:rFonts w:ascii="仿宋_GB2312" w:hAnsi="仿宋" w:hint="eastAsia"/>
          <w:sz w:val="32"/>
          <w:szCs w:val="32"/>
        </w:rPr>
        <w:t>2023年度共</w:t>
      </w:r>
      <w:r w:rsidRPr="00C441DA">
        <w:rPr>
          <w:rFonts w:ascii="仿宋_GB2312" w:hAnsi="仿宋"/>
          <w:sz w:val="32"/>
          <w:szCs w:val="32"/>
        </w:rPr>
        <w:t>立案</w:t>
      </w:r>
      <w:r w:rsidRPr="00C441DA">
        <w:rPr>
          <w:rFonts w:ascii="仿宋_GB2312" w:hAnsi="仿宋" w:hint="eastAsia"/>
          <w:sz w:val="32"/>
          <w:szCs w:val="32"/>
        </w:rPr>
        <w:t>160</w:t>
      </w:r>
      <w:r w:rsidRPr="00C441DA">
        <w:rPr>
          <w:rFonts w:ascii="仿宋_GB2312" w:hAnsi="仿宋"/>
          <w:sz w:val="32"/>
          <w:szCs w:val="32"/>
        </w:rPr>
        <w:t>件，处分14</w:t>
      </w:r>
      <w:r w:rsidRPr="00C441DA">
        <w:rPr>
          <w:rFonts w:ascii="仿宋_GB2312" w:hAnsi="仿宋" w:hint="eastAsia"/>
          <w:sz w:val="32"/>
          <w:szCs w:val="32"/>
        </w:rPr>
        <w:t>7</w:t>
      </w:r>
      <w:r w:rsidRPr="00C441DA">
        <w:rPr>
          <w:rFonts w:ascii="仿宋_GB2312" w:hAnsi="仿宋"/>
          <w:sz w:val="32"/>
          <w:szCs w:val="32"/>
        </w:rPr>
        <w:t>人，其中留置</w:t>
      </w:r>
      <w:r w:rsidRPr="00C441DA">
        <w:rPr>
          <w:rFonts w:ascii="仿宋_GB2312" w:hAnsi="仿宋" w:hint="eastAsia"/>
          <w:sz w:val="32"/>
          <w:szCs w:val="32"/>
        </w:rPr>
        <w:t>4</w:t>
      </w:r>
      <w:r w:rsidRPr="00C441DA">
        <w:rPr>
          <w:rFonts w:ascii="仿宋_GB2312" w:hAnsi="仿宋"/>
          <w:sz w:val="32"/>
          <w:szCs w:val="32"/>
        </w:rPr>
        <w:t>人，移送</w:t>
      </w:r>
      <w:r w:rsidRPr="00C441DA">
        <w:rPr>
          <w:rFonts w:ascii="仿宋_GB2312" w:hAnsi="仿宋"/>
          <w:sz w:val="32"/>
          <w:szCs w:val="32"/>
        </w:rPr>
        <w:lastRenderedPageBreak/>
        <w:t>司法机关3人。第一、第二、第三、第四种形态分别处置</w:t>
      </w:r>
      <w:r w:rsidRPr="00C441DA">
        <w:rPr>
          <w:rFonts w:ascii="仿宋_GB2312" w:hAnsi="仿宋" w:hint="eastAsia"/>
          <w:sz w:val="32"/>
          <w:szCs w:val="32"/>
        </w:rPr>
        <w:t>问题线索253</w:t>
      </w:r>
      <w:r w:rsidRPr="00C441DA">
        <w:rPr>
          <w:rFonts w:ascii="仿宋_GB2312" w:hAnsi="仿宋"/>
          <w:sz w:val="32"/>
          <w:szCs w:val="32"/>
        </w:rPr>
        <w:t>件、</w:t>
      </w:r>
      <w:r w:rsidRPr="00C441DA">
        <w:rPr>
          <w:rFonts w:ascii="仿宋_GB2312" w:hAnsi="仿宋" w:hint="eastAsia"/>
          <w:sz w:val="32"/>
          <w:szCs w:val="32"/>
        </w:rPr>
        <w:t>122</w:t>
      </w:r>
      <w:r w:rsidRPr="00C441DA">
        <w:rPr>
          <w:rFonts w:ascii="仿宋_GB2312" w:hAnsi="仿宋"/>
          <w:sz w:val="32"/>
          <w:szCs w:val="32"/>
        </w:rPr>
        <w:t>件、</w:t>
      </w:r>
      <w:r w:rsidRPr="00C441DA">
        <w:rPr>
          <w:rFonts w:ascii="仿宋_GB2312" w:hAnsi="仿宋" w:hint="eastAsia"/>
          <w:sz w:val="32"/>
          <w:szCs w:val="32"/>
        </w:rPr>
        <w:t>22</w:t>
      </w:r>
      <w:r w:rsidRPr="00C441DA">
        <w:rPr>
          <w:rFonts w:ascii="仿宋_GB2312" w:hAnsi="仿宋"/>
          <w:sz w:val="32"/>
          <w:szCs w:val="32"/>
        </w:rPr>
        <w:t>件、</w:t>
      </w:r>
      <w:r w:rsidRPr="00C441DA">
        <w:rPr>
          <w:rFonts w:ascii="仿宋_GB2312" w:hAnsi="仿宋" w:hint="eastAsia"/>
          <w:sz w:val="32"/>
          <w:szCs w:val="32"/>
        </w:rPr>
        <w:t>10</w:t>
      </w:r>
      <w:r w:rsidRPr="00C441DA">
        <w:rPr>
          <w:rFonts w:ascii="仿宋_GB2312" w:hAnsi="仿宋"/>
          <w:sz w:val="32"/>
          <w:szCs w:val="32"/>
        </w:rPr>
        <w:t>件，分别占比6</w:t>
      </w:r>
      <w:r w:rsidRPr="00C441DA">
        <w:rPr>
          <w:rFonts w:ascii="仿宋_GB2312" w:hAnsi="仿宋" w:hint="eastAsia"/>
          <w:sz w:val="32"/>
          <w:szCs w:val="32"/>
        </w:rPr>
        <w:t>2.2</w:t>
      </w:r>
      <w:r w:rsidRPr="00C441DA">
        <w:rPr>
          <w:rFonts w:ascii="仿宋_GB2312" w:hAnsi="仿宋"/>
          <w:sz w:val="32"/>
          <w:szCs w:val="32"/>
        </w:rPr>
        <w:t>%、30%、5.</w:t>
      </w:r>
      <w:r w:rsidRPr="00C441DA">
        <w:rPr>
          <w:rFonts w:ascii="仿宋_GB2312" w:hAnsi="仿宋" w:hint="eastAsia"/>
          <w:sz w:val="32"/>
          <w:szCs w:val="32"/>
        </w:rPr>
        <w:t>4</w:t>
      </w:r>
      <w:r w:rsidRPr="00C441DA">
        <w:rPr>
          <w:rFonts w:ascii="仿宋_GB2312" w:hAnsi="仿宋"/>
          <w:sz w:val="32"/>
          <w:szCs w:val="32"/>
        </w:rPr>
        <w:t>%、2.</w:t>
      </w:r>
      <w:r w:rsidRPr="00C441DA">
        <w:rPr>
          <w:rFonts w:ascii="仿宋_GB2312" w:hAnsi="仿宋" w:hint="eastAsia"/>
          <w:sz w:val="32"/>
          <w:szCs w:val="32"/>
        </w:rPr>
        <w:t>4</w:t>
      </w:r>
      <w:r w:rsidRPr="00C441DA">
        <w:rPr>
          <w:rFonts w:ascii="仿宋_GB2312" w:hAnsi="仿宋"/>
          <w:sz w:val="32"/>
          <w:szCs w:val="32"/>
        </w:rPr>
        <w:t>%</w:t>
      </w:r>
      <w:r w:rsidRPr="00C441DA">
        <w:rPr>
          <w:rFonts w:ascii="仿宋_GB2312" w:hAnsi="仿宋" w:hint="eastAsia"/>
          <w:sz w:val="32"/>
          <w:szCs w:val="32"/>
        </w:rPr>
        <w:t>。</w:t>
      </w:r>
      <w:r w:rsidRPr="00C441DA">
        <w:rPr>
          <w:rFonts w:ascii="仿宋_GB2312" w:hAnsi="仿宋"/>
          <w:sz w:val="32"/>
          <w:szCs w:val="32"/>
        </w:rPr>
        <w:t>大力推进清廉城步建设，在全县培育清廉单元省级样本</w:t>
      </w:r>
      <w:r w:rsidRPr="00C441DA">
        <w:rPr>
          <w:rFonts w:ascii="仿宋_GB2312" w:hAnsi="仿宋" w:hint="eastAsia"/>
          <w:sz w:val="32"/>
          <w:szCs w:val="32"/>
        </w:rPr>
        <w:t>点</w:t>
      </w:r>
      <w:r w:rsidRPr="00C441DA">
        <w:rPr>
          <w:rFonts w:ascii="仿宋_GB2312" w:hAnsi="仿宋"/>
          <w:sz w:val="32"/>
          <w:szCs w:val="32"/>
        </w:rPr>
        <w:t>9个、市级16个、县级30个。兰藤村被评为省级清廉乡村样本点，汀坪乡、县中医医院</w:t>
      </w:r>
      <w:r w:rsidRPr="00C441DA">
        <w:rPr>
          <w:rFonts w:ascii="仿宋_GB2312" w:hAnsi="仿宋" w:hint="eastAsia"/>
          <w:sz w:val="32"/>
          <w:szCs w:val="32"/>
        </w:rPr>
        <w:t>被评</w:t>
      </w:r>
      <w:r w:rsidRPr="00C441DA">
        <w:rPr>
          <w:rFonts w:ascii="仿宋_GB2312" w:hAnsi="仿宋"/>
          <w:sz w:val="32"/>
          <w:szCs w:val="32"/>
        </w:rPr>
        <w:t>为市级清廉样本点。开通清廉公交专线，建成县级清廉文化教育基地2处，形成全民倡廉的良好局面和浓厚氛围。增强</w:t>
      </w:r>
      <w:r w:rsidRPr="00C441DA">
        <w:rPr>
          <w:rFonts w:ascii="仿宋_GB2312" w:hAnsi="仿宋"/>
          <w:sz w:val="32"/>
          <w:szCs w:val="32"/>
        </w:rPr>
        <w:t>“</w:t>
      </w:r>
      <w:r w:rsidRPr="00C441DA">
        <w:rPr>
          <w:rFonts w:ascii="仿宋_GB2312" w:hAnsi="仿宋"/>
          <w:sz w:val="32"/>
          <w:szCs w:val="32"/>
        </w:rPr>
        <w:t>不想腐</w:t>
      </w:r>
      <w:r w:rsidRPr="00C441DA">
        <w:rPr>
          <w:rFonts w:ascii="仿宋_GB2312" w:hAnsi="仿宋"/>
          <w:sz w:val="32"/>
          <w:szCs w:val="32"/>
        </w:rPr>
        <w:t>”</w:t>
      </w:r>
      <w:r w:rsidRPr="00C441DA">
        <w:rPr>
          <w:rFonts w:ascii="仿宋_GB2312" w:hAnsi="仿宋"/>
          <w:sz w:val="32"/>
          <w:szCs w:val="32"/>
        </w:rPr>
        <w:t>的自觉</w:t>
      </w:r>
      <w:r w:rsidRPr="00C441DA">
        <w:rPr>
          <w:rFonts w:ascii="仿宋_GB2312" w:hAnsi="仿宋" w:hint="eastAsia"/>
          <w:sz w:val="32"/>
          <w:szCs w:val="32"/>
        </w:rPr>
        <w:t>，</w:t>
      </w:r>
      <w:r w:rsidRPr="00C441DA">
        <w:rPr>
          <w:rFonts w:ascii="仿宋_GB2312" w:hAnsi="仿宋"/>
          <w:sz w:val="32"/>
          <w:szCs w:val="32"/>
        </w:rPr>
        <w:t>分层分类开展警示教育，以易鹏飞</w:t>
      </w:r>
      <w:r w:rsidRPr="00C441DA">
        <w:rPr>
          <w:rFonts w:ascii="仿宋_GB2312" w:hAnsi="仿宋" w:hint="eastAsia"/>
          <w:sz w:val="32"/>
          <w:szCs w:val="32"/>
        </w:rPr>
        <w:t>、</w:t>
      </w:r>
      <w:r w:rsidRPr="00C441DA">
        <w:rPr>
          <w:rFonts w:ascii="仿宋_GB2312" w:hAnsi="仿宋"/>
          <w:sz w:val="32"/>
          <w:szCs w:val="32"/>
        </w:rPr>
        <w:t>杨起帆、</w:t>
      </w:r>
      <w:r w:rsidRPr="00C441DA">
        <w:rPr>
          <w:rFonts w:ascii="仿宋_GB2312" w:hAnsi="仿宋" w:hint="eastAsia"/>
          <w:sz w:val="32"/>
          <w:szCs w:val="32"/>
        </w:rPr>
        <w:t>张小明</w:t>
      </w:r>
      <w:r w:rsidRPr="00C441DA">
        <w:rPr>
          <w:rFonts w:ascii="仿宋_GB2312" w:hAnsi="仿宋"/>
          <w:sz w:val="32"/>
          <w:szCs w:val="32"/>
        </w:rPr>
        <w:t>案件扎实开展以案促改工作，</w:t>
      </w:r>
      <w:r w:rsidRPr="00C441DA">
        <w:rPr>
          <w:rFonts w:ascii="仿宋_GB2312" w:hAnsi="仿宋" w:hint="eastAsia"/>
          <w:sz w:val="32"/>
          <w:szCs w:val="32"/>
        </w:rPr>
        <w:t>召开</w:t>
      </w:r>
      <w:r w:rsidRPr="00C441DA">
        <w:rPr>
          <w:rFonts w:ascii="仿宋_GB2312" w:hAnsi="仿宋"/>
          <w:sz w:val="32"/>
          <w:szCs w:val="32"/>
        </w:rPr>
        <w:t>警示教育大会及专题民主生活会，深刻反思、汲取教训；开展年轻干部专项教育活动，对全县72名35岁以下科级干部开展理论学习、纪法教育和实践活动。加大澄清正名、</w:t>
      </w:r>
      <w:r w:rsidRPr="00C441DA">
        <w:rPr>
          <w:rFonts w:ascii="仿宋_GB2312" w:hAnsi="仿宋"/>
          <w:sz w:val="32"/>
          <w:szCs w:val="32"/>
        </w:rPr>
        <w:t>“</w:t>
      </w:r>
      <w:r w:rsidRPr="00C441DA">
        <w:rPr>
          <w:rFonts w:ascii="仿宋_GB2312" w:hAnsi="仿宋"/>
          <w:sz w:val="32"/>
          <w:szCs w:val="32"/>
        </w:rPr>
        <w:t>暖心回访</w:t>
      </w:r>
      <w:r w:rsidRPr="00C441DA">
        <w:rPr>
          <w:rFonts w:ascii="仿宋_GB2312" w:hAnsi="仿宋"/>
          <w:sz w:val="32"/>
          <w:szCs w:val="32"/>
        </w:rPr>
        <w:t>”</w:t>
      </w:r>
      <w:r w:rsidRPr="00C441DA">
        <w:rPr>
          <w:rFonts w:ascii="仿宋_GB2312" w:hAnsi="仿宋"/>
          <w:sz w:val="32"/>
          <w:szCs w:val="32"/>
        </w:rPr>
        <w:t>工作力度，为2人次受到不实举报者澄清正名，回访受处分人员60人次，积极营造想事干事成事的良好氛围。</w:t>
      </w:r>
    </w:p>
    <w:p w:rsidR="00933178" w:rsidRPr="00C441DA" w:rsidRDefault="00933178" w:rsidP="00933178">
      <w:pPr>
        <w:spacing w:line="600" w:lineRule="exact"/>
        <w:ind w:firstLineChars="200" w:firstLine="640"/>
        <w:rPr>
          <w:rFonts w:ascii="仿宋_GB2312" w:hAnsi="仿宋"/>
          <w:sz w:val="32"/>
          <w:szCs w:val="32"/>
        </w:rPr>
      </w:pPr>
      <w:r w:rsidRPr="00C441DA">
        <w:rPr>
          <w:rFonts w:ascii="仿宋_GB2312" w:hAnsi="仿宋" w:hint="eastAsia"/>
          <w:sz w:val="32"/>
          <w:szCs w:val="32"/>
        </w:rPr>
        <w:t>2023年度</w:t>
      </w:r>
      <w:r w:rsidRPr="00C441DA">
        <w:rPr>
          <w:rFonts w:ascii="仿宋_GB2312" w:hAnsi="仿宋"/>
          <w:sz w:val="32"/>
          <w:szCs w:val="32"/>
        </w:rPr>
        <w:t>贯彻落实中央八项规定精神、省委和市委</w:t>
      </w:r>
      <w:r w:rsidRPr="00C441DA">
        <w:rPr>
          <w:rFonts w:ascii="仿宋_GB2312" w:hAnsi="仿宋"/>
          <w:sz w:val="32"/>
          <w:szCs w:val="32"/>
        </w:rPr>
        <w:t>“</w:t>
      </w:r>
      <w:r w:rsidRPr="00C441DA">
        <w:rPr>
          <w:rFonts w:ascii="仿宋_GB2312" w:hAnsi="仿宋"/>
          <w:sz w:val="32"/>
          <w:szCs w:val="32"/>
        </w:rPr>
        <w:t>约法三章</w:t>
      </w:r>
      <w:r w:rsidRPr="00C441DA">
        <w:rPr>
          <w:rFonts w:ascii="仿宋_GB2312" w:hAnsi="仿宋"/>
          <w:sz w:val="32"/>
          <w:szCs w:val="32"/>
        </w:rPr>
        <w:t>”</w:t>
      </w:r>
      <w:r w:rsidRPr="00C441DA">
        <w:rPr>
          <w:rFonts w:ascii="仿宋_GB2312" w:hAnsi="仿宋"/>
          <w:sz w:val="32"/>
          <w:szCs w:val="32"/>
        </w:rPr>
        <w:t>，开展监督检查10余次，发现并督促整改问题44个</w:t>
      </w:r>
      <w:r w:rsidRPr="00C441DA">
        <w:rPr>
          <w:rFonts w:ascii="仿宋_GB2312" w:hAnsi="仿宋" w:hint="eastAsia"/>
          <w:sz w:val="32"/>
          <w:szCs w:val="32"/>
        </w:rPr>
        <w:t>；</w:t>
      </w:r>
      <w:r w:rsidRPr="00C441DA">
        <w:rPr>
          <w:rFonts w:ascii="仿宋_GB2312" w:hAnsi="仿宋"/>
          <w:sz w:val="32"/>
          <w:szCs w:val="32"/>
        </w:rPr>
        <w:t>查处违反中央八项规定精神问题16起，处理处分41人</w:t>
      </w:r>
      <w:r w:rsidRPr="00C441DA">
        <w:rPr>
          <w:rFonts w:ascii="仿宋_GB2312" w:hAnsi="仿宋" w:hint="eastAsia"/>
          <w:sz w:val="32"/>
          <w:szCs w:val="32"/>
        </w:rPr>
        <w:t>，发出通报4期13起；深入开展“明方向、立规矩、正风气、强免疫”干部队伍作风建设专项活动，</w:t>
      </w:r>
      <w:r w:rsidRPr="00C441DA">
        <w:rPr>
          <w:rFonts w:ascii="仿宋_GB2312" w:hAnsi="仿宋"/>
          <w:sz w:val="32"/>
          <w:szCs w:val="32"/>
        </w:rPr>
        <w:t>全县各级党组织自查问题227个，全部整改到位</w:t>
      </w:r>
      <w:r w:rsidRPr="00C441DA">
        <w:rPr>
          <w:rFonts w:ascii="仿宋_GB2312" w:hAnsi="仿宋" w:hint="eastAsia"/>
          <w:sz w:val="32"/>
          <w:szCs w:val="32"/>
        </w:rPr>
        <w:t>；</w:t>
      </w:r>
      <w:r w:rsidRPr="00C441DA">
        <w:rPr>
          <w:rFonts w:ascii="仿宋_GB2312" w:hAnsi="仿宋"/>
          <w:sz w:val="32"/>
          <w:szCs w:val="32"/>
        </w:rPr>
        <w:t>设立省市县三级纠治</w:t>
      </w:r>
      <w:r w:rsidRPr="00C441DA">
        <w:rPr>
          <w:rFonts w:ascii="仿宋_GB2312" w:hAnsi="仿宋"/>
          <w:sz w:val="32"/>
          <w:szCs w:val="32"/>
        </w:rPr>
        <w:t>“</w:t>
      </w:r>
      <w:r w:rsidRPr="00C441DA">
        <w:rPr>
          <w:rFonts w:ascii="仿宋_GB2312" w:hAnsi="仿宋"/>
          <w:sz w:val="32"/>
          <w:szCs w:val="32"/>
        </w:rPr>
        <w:t>四风</w:t>
      </w:r>
      <w:r w:rsidRPr="00C441DA">
        <w:rPr>
          <w:rFonts w:ascii="仿宋_GB2312" w:hAnsi="仿宋"/>
          <w:sz w:val="32"/>
          <w:szCs w:val="32"/>
        </w:rPr>
        <w:t>”</w:t>
      </w:r>
      <w:r w:rsidRPr="00C441DA">
        <w:rPr>
          <w:rFonts w:ascii="仿宋_GB2312" w:hAnsi="仿宋"/>
          <w:sz w:val="32"/>
          <w:szCs w:val="32"/>
        </w:rPr>
        <w:t>监测点35个，受理群众电话举报20余起，均办结并回复，查处问题线索2件，处理处分3人</w:t>
      </w:r>
      <w:r w:rsidRPr="00C441DA">
        <w:rPr>
          <w:rFonts w:ascii="仿宋_GB2312" w:hAnsi="仿宋" w:hint="eastAsia"/>
          <w:sz w:val="32"/>
          <w:szCs w:val="32"/>
        </w:rPr>
        <w:t>；</w:t>
      </w:r>
      <w:r w:rsidRPr="00C441DA">
        <w:rPr>
          <w:rFonts w:ascii="仿宋_GB2312" w:hAnsi="仿宋"/>
          <w:sz w:val="32"/>
          <w:szCs w:val="32"/>
        </w:rPr>
        <w:t>深入推进</w:t>
      </w:r>
      <w:r w:rsidRPr="00C441DA">
        <w:rPr>
          <w:rFonts w:ascii="仿宋_GB2312" w:hAnsi="仿宋"/>
          <w:sz w:val="32"/>
          <w:szCs w:val="32"/>
        </w:rPr>
        <w:t>“</w:t>
      </w:r>
      <w:r w:rsidRPr="00C441DA">
        <w:rPr>
          <w:rFonts w:ascii="仿宋_GB2312" w:hAnsi="仿宋"/>
          <w:sz w:val="32"/>
          <w:szCs w:val="32"/>
        </w:rPr>
        <w:t>两带头五整治</w:t>
      </w:r>
      <w:r w:rsidRPr="00C441DA">
        <w:rPr>
          <w:rFonts w:ascii="仿宋_GB2312" w:hAnsi="仿宋"/>
          <w:sz w:val="32"/>
          <w:szCs w:val="32"/>
        </w:rPr>
        <w:t>”</w:t>
      </w:r>
      <w:r w:rsidRPr="00C441DA">
        <w:rPr>
          <w:rFonts w:ascii="仿宋_GB2312" w:hAnsi="仿宋"/>
          <w:sz w:val="32"/>
          <w:szCs w:val="32"/>
        </w:rPr>
        <w:t>纠风防腐专项行动，督促整改问题30余个，起底违规旅游、打牌、赌博、酒后驾车等五类</w:t>
      </w:r>
      <w:r w:rsidRPr="00C441DA">
        <w:rPr>
          <w:rFonts w:ascii="仿宋_GB2312" w:hAnsi="仿宋" w:hint="eastAsia"/>
          <w:sz w:val="32"/>
          <w:szCs w:val="32"/>
        </w:rPr>
        <w:t>问题</w:t>
      </w:r>
      <w:r w:rsidRPr="00C441DA">
        <w:rPr>
          <w:rFonts w:ascii="仿宋_GB2312" w:hAnsi="仿宋"/>
          <w:sz w:val="32"/>
          <w:szCs w:val="32"/>
        </w:rPr>
        <w:t>线索78条，处理处分54人，党纪政务处分34人</w:t>
      </w:r>
      <w:r w:rsidRPr="00C441DA">
        <w:rPr>
          <w:rFonts w:ascii="仿宋_GB2312" w:hAnsi="仿宋" w:hint="eastAsia"/>
          <w:sz w:val="32"/>
          <w:szCs w:val="32"/>
        </w:rPr>
        <w:t>，发出典型案例通</w:t>
      </w:r>
      <w:r w:rsidRPr="00C441DA">
        <w:rPr>
          <w:rFonts w:ascii="仿宋_GB2312" w:hAnsi="仿宋" w:hint="eastAsia"/>
          <w:sz w:val="32"/>
          <w:szCs w:val="32"/>
        </w:rPr>
        <w:lastRenderedPageBreak/>
        <w:t>报3期16起</w:t>
      </w:r>
      <w:r w:rsidRPr="00C441DA">
        <w:rPr>
          <w:rFonts w:ascii="仿宋_GB2312" w:hAnsi="仿宋"/>
          <w:sz w:val="32"/>
          <w:szCs w:val="32"/>
        </w:rPr>
        <w:t>。</w:t>
      </w:r>
    </w:p>
    <w:p w:rsidR="00933178" w:rsidRPr="00C441DA" w:rsidRDefault="00933178" w:rsidP="00933178">
      <w:pPr>
        <w:snapToGrid w:val="0"/>
        <w:spacing w:line="520" w:lineRule="exact"/>
        <w:ind w:firstLineChars="200" w:firstLine="640"/>
        <w:rPr>
          <w:rFonts w:ascii="仿宋_GB2312" w:hAnsi="仿宋"/>
          <w:sz w:val="32"/>
          <w:szCs w:val="32"/>
        </w:rPr>
      </w:pPr>
      <w:r w:rsidRPr="00C441DA">
        <w:rPr>
          <w:rFonts w:ascii="仿宋_GB2312" w:hAnsi="仿宋" w:hint="eastAsia"/>
          <w:sz w:val="32"/>
          <w:szCs w:val="32"/>
        </w:rPr>
        <w:t>2023年度启动纪检监察信访举报宣传活动，受理群众咨询404人，推动解决问题33个；深化开展“带着板凳进村”活动，接访群众2102人次，受理业务内信访举报72件，办结68件，办结率93%；对省委巡视移交的4件信访件快查严办，立案4人，组织处理6人；聚焦医德医风和医药领域腐败问题开展集中整治，发现问题线索13条，立案2件，处理处分6人；聚焦农村集体“三资”管理，对2021年以来全县受理的涉农领域有关惠农补贴资金、耕地“非农化”、基本农田“非粮化”、涉农项目资金审批分配等四个方面问题线索进行“大起底”，累计起底问题线索88件，立案21件，党纪政务处分26人次，组织处理85人次，追缴资金150.37万；聚焦群众反映强烈的“庸懒散慢”“索拿卡要”等作风问题，查处问题线索14条，处理处分14人，其中党纪政务处分7人，推动整改问题19个，通报曝光2批5起；督促开展“利剑护蕾”专项行动，查处性侵未成年人相关问题线索8件，政务处分12人，组织处理24人。</w:t>
      </w:r>
    </w:p>
    <w:p w:rsidR="00686731" w:rsidRDefault="00933178" w:rsidP="00686731">
      <w:pPr>
        <w:snapToGrid w:val="0"/>
        <w:spacing w:line="520" w:lineRule="exact"/>
        <w:ind w:firstLineChars="200" w:firstLine="640"/>
        <w:rPr>
          <w:rFonts w:ascii="仿宋_GB2312" w:hAnsi="仿宋"/>
          <w:sz w:val="32"/>
          <w:szCs w:val="32"/>
        </w:rPr>
      </w:pPr>
      <w:r w:rsidRPr="00C441DA">
        <w:rPr>
          <w:rFonts w:ascii="仿宋_GB2312" w:hAnsi="仿宋" w:hint="eastAsia"/>
          <w:sz w:val="32"/>
          <w:szCs w:val="32"/>
        </w:rPr>
        <w:t>2023年度完成十三届县委第三轮、第四轮巡察，发现问题646个，向被巡察单位提出意见建议54条，形成问题清单98份，移交问题线索12条。从严从实抓好巡视巡察发现的政府采购和招投标违纪违法等7个方面突出问题的提级整改工作，整改问题147个，约谈问责8人，推动建立完善制度20个。坚决落实市委未巡先改工作要求，紧盯重点问题，精准施策，靶向发力，共自查问题52个，整改问题52个，建立健全制度23项，解决群众急难愁盼问题11个。</w:t>
      </w:r>
    </w:p>
    <w:p w:rsidR="00FB1FC5" w:rsidRPr="00686731" w:rsidRDefault="004B328B" w:rsidP="00686731">
      <w:pPr>
        <w:snapToGrid w:val="0"/>
        <w:spacing w:line="520" w:lineRule="exact"/>
        <w:ind w:firstLineChars="200" w:firstLine="640"/>
        <w:rPr>
          <w:rFonts w:ascii="仿宋_GB2312" w:hAnsi="仿宋"/>
          <w:sz w:val="32"/>
          <w:szCs w:val="32"/>
        </w:rPr>
      </w:pPr>
      <w:r>
        <w:rPr>
          <w:rFonts w:ascii="黑体" w:eastAsia="黑体" w:hAnsi="黑体" w:cs="黑体" w:hint="eastAsia"/>
          <w:color w:val="000000"/>
          <w:sz w:val="32"/>
          <w:szCs w:val="32"/>
          <w:shd w:val="clear" w:color="auto" w:fill="FFFFFF"/>
        </w:rPr>
        <w:t>七、存在的问题及原因分析</w:t>
      </w:r>
    </w:p>
    <w:p w:rsidR="00686731" w:rsidRDefault="006C2C17" w:rsidP="00686731">
      <w:pPr>
        <w:spacing w:line="560" w:lineRule="exact"/>
        <w:ind w:firstLineChars="200" w:firstLine="640"/>
        <w:rPr>
          <w:rFonts w:ascii="仿宋" w:eastAsia="仿宋" w:cs="仿宋"/>
          <w:sz w:val="32"/>
          <w:szCs w:val="32"/>
        </w:rPr>
      </w:pPr>
      <w:r>
        <w:rPr>
          <w:rFonts w:ascii="仿宋" w:eastAsia="仿宋" w:cs="仿宋" w:hint="eastAsia"/>
          <w:sz w:val="32"/>
          <w:szCs w:val="32"/>
        </w:rPr>
        <w:t>一是</w:t>
      </w:r>
      <w:r w:rsidRPr="00802278">
        <w:rPr>
          <w:rFonts w:ascii="仿宋" w:eastAsia="仿宋" w:cs="仿宋" w:hint="eastAsia"/>
          <w:sz w:val="32"/>
          <w:szCs w:val="32"/>
        </w:rPr>
        <w:t>预算编制有待进一步加强，确保预算执行力度。预算编</w:t>
      </w:r>
      <w:r w:rsidRPr="00802278">
        <w:rPr>
          <w:rFonts w:ascii="仿宋" w:eastAsia="仿宋" w:cs="仿宋" w:hint="eastAsia"/>
          <w:sz w:val="32"/>
          <w:szCs w:val="32"/>
        </w:rPr>
        <w:lastRenderedPageBreak/>
        <w:t>制与实际支出项目存在差异。二是部分业务工作实施进度较缓慢等原因，造成经费指标结转至下年支出</w:t>
      </w:r>
      <w:r>
        <w:rPr>
          <w:rFonts w:ascii="仿宋" w:eastAsia="仿宋" w:cs="仿宋" w:hint="eastAsia"/>
          <w:sz w:val="32"/>
          <w:szCs w:val="32"/>
        </w:rPr>
        <w:t>。</w:t>
      </w:r>
      <w:r w:rsidRPr="00802278">
        <w:rPr>
          <w:rFonts w:ascii="仿宋" w:eastAsia="仿宋" w:cs="仿宋" w:hint="eastAsia"/>
          <w:sz w:val="32"/>
          <w:szCs w:val="32"/>
        </w:rPr>
        <w:t>下年度本单位将努力改进相关工作，尽早安排资金支出的计划，推进各项工作实施进度，使用好有关经费。</w:t>
      </w:r>
    </w:p>
    <w:p w:rsidR="00FB1FC5" w:rsidRPr="00686731" w:rsidRDefault="004B328B" w:rsidP="00686731">
      <w:pPr>
        <w:spacing w:line="560" w:lineRule="exact"/>
        <w:ind w:firstLineChars="200" w:firstLine="640"/>
        <w:rPr>
          <w:rFonts w:eastAsia="黑体"/>
          <w:sz w:val="32"/>
          <w:szCs w:val="32"/>
        </w:rPr>
      </w:pPr>
      <w:r>
        <w:rPr>
          <w:rFonts w:ascii="黑体" w:eastAsia="黑体" w:hAnsi="黑体" w:cs="黑体" w:hint="eastAsia"/>
          <w:color w:val="000000"/>
          <w:sz w:val="32"/>
          <w:szCs w:val="32"/>
          <w:shd w:val="clear" w:color="auto" w:fill="FFFFFF"/>
        </w:rPr>
        <w:t>八、下一步改进措施</w:t>
      </w:r>
    </w:p>
    <w:p w:rsidR="006C2C17" w:rsidRPr="004B4D37" w:rsidRDefault="006C2C17" w:rsidP="004B4D37">
      <w:pPr>
        <w:snapToGrid w:val="0"/>
        <w:spacing w:line="500" w:lineRule="exact"/>
        <w:ind w:firstLineChars="200" w:firstLine="640"/>
        <w:rPr>
          <w:rFonts w:ascii="楷体_GB2312" w:eastAsia="楷体_GB2312" w:cs="楷体_GB2312"/>
          <w:color w:val="000000"/>
          <w:sz w:val="32"/>
          <w:szCs w:val="32"/>
          <w:shd w:val="clear" w:color="auto" w:fill="FFFFFF"/>
        </w:rPr>
      </w:pPr>
      <w:r w:rsidRPr="004B4D37">
        <w:rPr>
          <w:rFonts w:ascii="楷体_GB2312" w:eastAsia="楷体_GB2312" w:cs="楷体_GB2312" w:hint="eastAsia"/>
          <w:color w:val="000000"/>
          <w:sz w:val="32"/>
          <w:szCs w:val="32"/>
          <w:shd w:val="clear" w:color="auto" w:fill="FFFFFF"/>
        </w:rPr>
        <w:t>（一）细化预算编制，年初尽量将项目支出纳入财政预算，落实“先有预算，后有支出”的要求。</w:t>
      </w:r>
    </w:p>
    <w:p w:rsidR="00686731" w:rsidRPr="004B4D37" w:rsidRDefault="006C2C17" w:rsidP="004B4D37">
      <w:pPr>
        <w:snapToGrid w:val="0"/>
        <w:spacing w:line="500" w:lineRule="exact"/>
        <w:ind w:firstLineChars="200" w:firstLine="640"/>
        <w:rPr>
          <w:rFonts w:ascii="楷体_GB2312" w:eastAsia="楷体_GB2312" w:cs="楷体_GB2312"/>
          <w:color w:val="000000"/>
          <w:sz w:val="32"/>
          <w:szCs w:val="32"/>
          <w:shd w:val="clear" w:color="auto" w:fill="FFFFFF"/>
        </w:rPr>
      </w:pPr>
      <w:r w:rsidRPr="004B4D37">
        <w:rPr>
          <w:rFonts w:ascii="楷体_GB2312" w:eastAsia="楷体_GB2312" w:cs="楷体_GB2312" w:hint="eastAsia"/>
          <w:color w:val="000000"/>
          <w:sz w:val="32"/>
          <w:szCs w:val="32"/>
          <w:shd w:val="clear" w:color="auto" w:fill="FFFFFF"/>
        </w:rPr>
        <w:t>（二）严格财务审核，在预算金额内严格控制支出。</w:t>
      </w:r>
    </w:p>
    <w:p w:rsidR="00FB1FC5" w:rsidRPr="00686731" w:rsidRDefault="004B328B" w:rsidP="00686731">
      <w:pPr>
        <w:spacing w:line="500" w:lineRule="exact"/>
        <w:ind w:firstLineChars="200" w:firstLine="640"/>
        <w:rPr>
          <w:rFonts w:ascii="仿宋" w:eastAsia="仿宋" w:cs="仿宋"/>
          <w:sz w:val="32"/>
          <w:szCs w:val="32"/>
        </w:rPr>
      </w:pPr>
      <w:r>
        <w:rPr>
          <w:rFonts w:ascii="黑体" w:eastAsia="黑体" w:hAnsi="黑体" w:cs="黑体" w:hint="eastAsia"/>
          <w:color w:val="000000"/>
          <w:sz w:val="32"/>
          <w:szCs w:val="32"/>
          <w:shd w:val="clear" w:color="auto" w:fill="FFFFFF"/>
        </w:rPr>
        <w:t>九、其他需要说明的情况</w:t>
      </w:r>
    </w:p>
    <w:p w:rsidR="006C2C17" w:rsidRDefault="006C2C17" w:rsidP="006C2C17">
      <w:pPr>
        <w:pStyle w:val="a3"/>
        <w:widowControl/>
        <w:shd w:val="clear" w:color="auto" w:fill="FFFFFF"/>
        <w:snapToGrid w:val="0"/>
        <w:spacing w:beforeAutospacing="0" w:afterAutospacing="0" w:line="520" w:lineRule="exact"/>
        <w:ind w:firstLineChars="250" w:firstLine="800"/>
        <w:rPr>
          <w:rFonts w:ascii="黑体" w:eastAsia="黑体" w:hAnsi="黑体" w:cs="黑体"/>
          <w:color w:val="000000"/>
          <w:sz w:val="32"/>
          <w:szCs w:val="32"/>
        </w:rPr>
      </w:pPr>
      <w:r>
        <w:rPr>
          <w:rFonts w:ascii="仿宋_GB2312" w:hAnsi="仿宋" w:hint="eastAsia"/>
          <w:sz w:val="32"/>
          <w:szCs w:val="32"/>
        </w:rPr>
        <w:t>2023年度固定资产年末为336.07万元，比年初332.57增加了3.5万元，主要原因是2023年新增了打印机、密码柜等固定资产，固定资产累计折旧161.96万元，固定资产净值年末为174.11万元。</w:t>
      </w:r>
    </w:p>
    <w:p w:rsidR="00FB1FC5" w:rsidRDefault="00FB1FC5">
      <w:pPr>
        <w:pStyle w:val="a3"/>
        <w:widowControl/>
        <w:shd w:val="clear" w:color="auto" w:fill="FFFFFF"/>
        <w:snapToGrid w:val="0"/>
        <w:spacing w:beforeAutospacing="0" w:afterAutospacing="0" w:line="520" w:lineRule="exact"/>
        <w:rPr>
          <w:color w:val="000000"/>
          <w:szCs w:val="24"/>
        </w:rPr>
      </w:pPr>
    </w:p>
    <w:p w:rsidR="00FB1FC5" w:rsidRDefault="004B328B">
      <w:pPr>
        <w:pStyle w:val="a3"/>
        <w:widowControl/>
        <w:shd w:val="clear" w:color="auto" w:fill="FFFFFF"/>
        <w:snapToGrid w:val="0"/>
        <w:spacing w:beforeAutospacing="0" w:afterAutospacing="0" w:line="520" w:lineRule="exact"/>
        <w:rPr>
          <w:rFonts w:ascii="仿宋_GB2312" w:cs="仿宋_GB2312"/>
          <w:color w:val="000000"/>
          <w:sz w:val="32"/>
          <w:szCs w:val="32"/>
          <w:shd w:val="clear" w:color="auto" w:fill="FFFFFF"/>
        </w:rPr>
      </w:pPr>
      <w:r>
        <w:rPr>
          <w:rFonts w:ascii="仿宋_GB2312" w:cs="仿宋_GB2312"/>
          <w:color w:val="000000"/>
          <w:sz w:val="32"/>
          <w:szCs w:val="32"/>
          <w:shd w:val="clear" w:color="auto" w:fill="FFFFFF"/>
        </w:rPr>
        <w:t>附件：</w:t>
      </w:r>
    </w:p>
    <w:p w:rsidR="00FB1FC5" w:rsidRDefault="004B328B">
      <w:pPr>
        <w:pStyle w:val="a3"/>
        <w:widowControl/>
        <w:shd w:val="clear" w:color="auto" w:fill="FFFFFF"/>
        <w:snapToGrid w:val="0"/>
        <w:spacing w:beforeAutospacing="0" w:afterAutospacing="0" w:line="520" w:lineRule="exact"/>
        <w:rPr>
          <w:rFonts w:ascii="仿宋_GB2312" w:cs="仿宋_GB2312"/>
          <w:color w:val="000000"/>
          <w:sz w:val="32"/>
          <w:szCs w:val="32"/>
          <w:shd w:val="clear" w:color="auto" w:fill="FFFFFF"/>
        </w:rPr>
      </w:pPr>
      <w:r>
        <w:rPr>
          <w:rFonts w:ascii="仿宋_GB2312" w:cs="仿宋_GB2312" w:hint="eastAsia"/>
          <w:color w:val="000000"/>
          <w:sz w:val="32"/>
          <w:szCs w:val="32"/>
          <w:shd w:val="clear" w:color="auto" w:fill="FFFFFF"/>
        </w:rPr>
        <w:t>1.</w:t>
      </w:r>
      <w:r>
        <w:rPr>
          <w:rFonts w:ascii="仿宋_GB2312" w:cs="仿宋_GB2312"/>
          <w:color w:val="000000"/>
          <w:sz w:val="32"/>
          <w:szCs w:val="32"/>
          <w:shd w:val="clear" w:color="auto" w:fill="FFFFFF"/>
        </w:rPr>
        <w:t>部门整体支出绩效评价基础数据表</w:t>
      </w:r>
      <w:r>
        <w:rPr>
          <w:rFonts w:ascii="仿宋_GB2312" w:cs="仿宋_GB2312" w:hint="eastAsia"/>
          <w:color w:val="000000"/>
          <w:sz w:val="32"/>
          <w:szCs w:val="32"/>
          <w:shd w:val="clear" w:color="auto" w:fill="FFFFFF"/>
        </w:rPr>
        <w:t xml:space="preserve">  </w:t>
      </w:r>
    </w:p>
    <w:p w:rsidR="00FB1FC5" w:rsidRDefault="004B328B">
      <w:pPr>
        <w:pStyle w:val="a3"/>
        <w:widowControl/>
        <w:shd w:val="clear" w:color="auto" w:fill="FFFFFF"/>
        <w:snapToGrid w:val="0"/>
        <w:spacing w:beforeAutospacing="0" w:afterAutospacing="0" w:line="520" w:lineRule="exact"/>
        <w:rPr>
          <w:rFonts w:ascii="仿宋_GB2312" w:cs="仿宋_GB2312"/>
          <w:color w:val="000000"/>
          <w:sz w:val="32"/>
          <w:szCs w:val="32"/>
          <w:shd w:val="clear" w:color="auto" w:fill="FFFFFF"/>
        </w:rPr>
      </w:pPr>
      <w:r>
        <w:rPr>
          <w:rFonts w:ascii="仿宋_GB2312" w:cs="仿宋_GB2312" w:hint="eastAsia"/>
          <w:color w:val="000000"/>
          <w:sz w:val="32"/>
          <w:szCs w:val="32"/>
          <w:shd w:val="clear" w:color="auto" w:fill="FFFFFF"/>
        </w:rPr>
        <w:t>2.</w:t>
      </w:r>
      <w:r>
        <w:rPr>
          <w:rFonts w:ascii="仿宋_GB2312" w:cs="仿宋_GB2312"/>
          <w:color w:val="000000"/>
          <w:sz w:val="32"/>
          <w:szCs w:val="32"/>
          <w:shd w:val="clear" w:color="auto" w:fill="FFFFFF"/>
        </w:rPr>
        <w:t>部门整体支出绩效自评表</w:t>
      </w:r>
    </w:p>
    <w:p w:rsidR="00FB1FC5" w:rsidRDefault="004B328B">
      <w:pPr>
        <w:pStyle w:val="a3"/>
        <w:widowControl/>
        <w:shd w:val="clear" w:color="auto" w:fill="FFFFFF"/>
        <w:snapToGrid w:val="0"/>
        <w:spacing w:beforeAutospacing="0" w:afterAutospacing="0" w:line="520" w:lineRule="exact"/>
        <w:rPr>
          <w:rFonts w:ascii="仿宋_GB2312" w:cs="仿宋_GB2312"/>
          <w:color w:val="000000"/>
          <w:sz w:val="32"/>
          <w:szCs w:val="32"/>
          <w:shd w:val="clear" w:color="auto" w:fill="FFFFFF"/>
        </w:rPr>
      </w:pPr>
      <w:r>
        <w:rPr>
          <w:rFonts w:ascii="仿宋_GB2312" w:cs="仿宋_GB2312" w:hint="eastAsia"/>
          <w:color w:val="000000"/>
          <w:sz w:val="32"/>
          <w:szCs w:val="32"/>
          <w:shd w:val="clear" w:color="auto" w:fill="FFFFFF"/>
        </w:rPr>
        <w:t>3、项目支出绩效自评表</w:t>
      </w:r>
    </w:p>
    <w:p w:rsidR="00FB1FC5" w:rsidRDefault="00FB1FC5">
      <w:pPr>
        <w:pStyle w:val="a3"/>
        <w:widowControl/>
        <w:shd w:val="clear" w:color="auto" w:fill="FFFFFF"/>
        <w:snapToGrid w:val="0"/>
        <w:spacing w:beforeAutospacing="0" w:afterAutospacing="0" w:line="520" w:lineRule="exact"/>
        <w:rPr>
          <w:rFonts w:ascii="仿宋_GB2312" w:cs="仿宋_GB2312"/>
          <w:color w:val="000000"/>
          <w:sz w:val="32"/>
          <w:szCs w:val="32"/>
          <w:shd w:val="clear" w:color="auto" w:fill="FFFFFF"/>
        </w:rPr>
      </w:pPr>
    </w:p>
    <w:p w:rsidR="00FB1FC5" w:rsidRDefault="00FB1FC5">
      <w:pPr>
        <w:pStyle w:val="a3"/>
        <w:widowControl/>
        <w:shd w:val="clear" w:color="auto" w:fill="FFFFFF"/>
        <w:spacing w:beforeAutospacing="0" w:afterAutospacing="0" w:line="480" w:lineRule="atLeast"/>
        <w:jc w:val="both"/>
        <w:rPr>
          <w:rFonts w:ascii="Calibri" w:hAnsi="Calibri" w:cs="Calibri"/>
          <w:color w:val="000000"/>
          <w:szCs w:val="24"/>
        </w:rPr>
      </w:pPr>
    </w:p>
    <w:p w:rsidR="00FB1FC5" w:rsidRDefault="00FB1FC5">
      <w:pPr>
        <w:pStyle w:val="a3"/>
        <w:widowControl/>
        <w:shd w:val="clear" w:color="auto" w:fill="FFFFFF"/>
        <w:spacing w:beforeAutospacing="0" w:afterAutospacing="0" w:line="480" w:lineRule="atLeast"/>
        <w:jc w:val="both"/>
        <w:rPr>
          <w:rFonts w:ascii="Calibri" w:hAnsi="Calibri" w:cs="Calibri"/>
          <w:color w:val="000000"/>
          <w:szCs w:val="24"/>
        </w:rPr>
      </w:pPr>
    </w:p>
    <w:p w:rsidR="00FB1FC5" w:rsidRDefault="00FB1FC5">
      <w:pPr>
        <w:pStyle w:val="a3"/>
        <w:widowControl/>
        <w:shd w:val="clear" w:color="auto" w:fill="FFFFFF"/>
        <w:spacing w:beforeAutospacing="0" w:afterAutospacing="0" w:line="480" w:lineRule="atLeast"/>
        <w:jc w:val="both"/>
        <w:rPr>
          <w:rFonts w:ascii="Calibri" w:hAnsi="Calibri" w:cs="Calibri"/>
          <w:color w:val="000000"/>
          <w:szCs w:val="24"/>
        </w:rPr>
      </w:pPr>
    </w:p>
    <w:p w:rsidR="00FB1FC5" w:rsidRDefault="00FB1FC5">
      <w:pPr>
        <w:pStyle w:val="a3"/>
        <w:widowControl/>
        <w:shd w:val="clear" w:color="auto" w:fill="FFFFFF"/>
        <w:spacing w:beforeAutospacing="0" w:afterAutospacing="0" w:line="480" w:lineRule="atLeast"/>
        <w:jc w:val="both"/>
        <w:rPr>
          <w:rFonts w:ascii="Calibri" w:hAnsi="Calibri" w:cs="Calibri"/>
          <w:color w:val="000000"/>
          <w:szCs w:val="24"/>
        </w:rPr>
      </w:pPr>
    </w:p>
    <w:p w:rsidR="00FB1FC5" w:rsidRDefault="00FB1FC5">
      <w:pPr>
        <w:pStyle w:val="a3"/>
        <w:widowControl/>
        <w:shd w:val="clear" w:color="auto" w:fill="FFFFFF"/>
        <w:spacing w:beforeAutospacing="0" w:afterAutospacing="0" w:line="480" w:lineRule="atLeast"/>
        <w:jc w:val="both"/>
        <w:rPr>
          <w:rFonts w:ascii="Calibri" w:hAnsi="Calibri" w:cs="Calibri"/>
          <w:color w:val="000000"/>
          <w:szCs w:val="24"/>
        </w:rPr>
      </w:pPr>
    </w:p>
    <w:p w:rsidR="00FB1FC5" w:rsidRDefault="00FB1FC5">
      <w:pPr>
        <w:pStyle w:val="a3"/>
        <w:widowControl/>
        <w:shd w:val="clear" w:color="auto" w:fill="FFFFFF"/>
        <w:spacing w:beforeAutospacing="0" w:afterAutospacing="0" w:line="480" w:lineRule="atLeast"/>
        <w:jc w:val="both"/>
        <w:rPr>
          <w:rFonts w:ascii="Calibri" w:hAnsi="Calibri" w:cs="Calibri"/>
          <w:color w:val="000000"/>
          <w:szCs w:val="24"/>
        </w:rPr>
      </w:pPr>
    </w:p>
    <w:p w:rsidR="00FB1FC5" w:rsidRDefault="00FB1FC5">
      <w:pPr>
        <w:pStyle w:val="a3"/>
        <w:widowControl/>
        <w:shd w:val="clear" w:color="auto" w:fill="FFFFFF"/>
        <w:spacing w:beforeAutospacing="0" w:afterAutospacing="0" w:line="480" w:lineRule="atLeast"/>
        <w:jc w:val="both"/>
        <w:rPr>
          <w:rFonts w:ascii="Calibri" w:hAnsi="Calibri" w:cs="Calibri"/>
          <w:color w:val="000000"/>
          <w:szCs w:val="24"/>
        </w:rPr>
      </w:pPr>
    </w:p>
    <w:p w:rsidR="00FB1FC5" w:rsidRDefault="00FB1FC5">
      <w:pPr>
        <w:pStyle w:val="a3"/>
        <w:widowControl/>
        <w:shd w:val="clear" w:color="auto" w:fill="FFFFFF"/>
        <w:spacing w:beforeAutospacing="0" w:afterAutospacing="0" w:line="480" w:lineRule="atLeast"/>
        <w:jc w:val="both"/>
        <w:rPr>
          <w:rFonts w:ascii="Calibri" w:hAnsi="Calibri" w:cs="Calibri"/>
          <w:color w:val="000000"/>
          <w:szCs w:val="24"/>
        </w:rPr>
      </w:pPr>
    </w:p>
    <w:p w:rsidR="00FB1FC5" w:rsidRDefault="00FB1FC5">
      <w:pPr>
        <w:pStyle w:val="a3"/>
        <w:widowControl/>
        <w:shd w:val="clear" w:color="auto" w:fill="FFFFFF"/>
        <w:spacing w:beforeAutospacing="0" w:afterAutospacing="0" w:line="480" w:lineRule="atLeast"/>
        <w:jc w:val="both"/>
        <w:rPr>
          <w:rFonts w:ascii="Calibri" w:hAnsi="Calibri" w:cs="Calibri"/>
          <w:color w:val="000000"/>
          <w:szCs w:val="24"/>
        </w:rPr>
      </w:pPr>
    </w:p>
    <w:p w:rsidR="00FB1FC5" w:rsidRDefault="00FB1FC5">
      <w:pPr>
        <w:pStyle w:val="a3"/>
        <w:widowControl/>
        <w:shd w:val="clear" w:color="auto" w:fill="FFFFFF"/>
        <w:spacing w:beforeAutospacing="0" w:afterAutospacing="0" w:line="480" w:lineRule="atLeast"/>
        <w:jc w:val="both"/>
        <w:rPr>
          <w:rFonts w:ascii="Calibri" w:hAnsi="Calibri" w:cs="Calibri"/>
          <w:color w:val="000000"/>
          <w:szCs w:val="24"/>
        </w:rPr>
      </w:pPr>
    </w:p>
    <w:p w:rsidR="00FB1FC5" w:rsidRDefault="00FB1FC5">
      <w:pPr>
        <w:pStyle w:val="a3"/>
        <w:widowControl/>
        <w:shd w:val="clear" w:color="auto" w:fill="FFFFFF"/>
        <w:spacing w:beforeAutospacing="0" w:afterAutospacing="0" w:line="480" w:lineRule="atLeast"/>
        <w:jc w:val="both"/>
        <w:rPr>
          <w:rFonts w:ascii="Calibri" w:hAnsi="Calibri" w:cs="Calibri"/>
          <w:color w:val="000000"/>
          <w:szCs w:val="24"/>
        </w:rPr>
      </w:pPr>
    </w:p>
    <w:p w:rsidR="00FB1FC5" w:rsidRDefault="00FB1FC5">
      <w:pPr>
        <w:pStyle w:val="a3"/>
        <w:widowControl/>
        <w:shd w:val="clear" w:color="auto" w:fill="FFFFFF"/>
        <w:spacing w:beforeAutospacing="0" w:afterAutospacing="0" w:line="480" w:lineRule="atLeast"/>
        <w:jc w:val="both"/>
        <w:rPr>
          <w:rFonts w:ascii="Calibri" w:hAnsi="Calibri" w:cs="Calibri"/>
          <w:color w:val="000000"/>
          <w:szCs w:val="24"/>
        </w:rPr>
      </w:pPr>
    </w:p>
    <w:p w:rsidR="00FB1FC5" w:rsidRDefault="00FB1FC5">
      <w:pPr>
        <w:pStyle w:val="a3"/>
        <w:widowControl/>
        <w:shd w:val="clear" w:color="auto" w:fill="FFFFFF"/>
        <w:spacing w:beforeAutospacing="0" w:afterAutospacing="0" w:line="480" w:lineRule="atLeast"/>
        <w:jc w:val="both"/>
        <w:rPr>
          <w:rFonts w:ascii="Calibri" w:hAnsi="Calibri" w:cs="Calibri"/>
          <w:color w:val="000000"/>
          <w:szCs w:val="24"/>
        </w:rPr>
      </w:pPr>
    </w:p>
    <w:p w:rsidR="00FB1FC5" w:rsidRDefault="00FB1FC5">
      <w:pPr>
        <w:pStyle w:val="a3"/>
        <w:widowControl/>
        <w:shd w:val="clear" w:color="auto" w:fill="FFFFFF"/>
        <w:spacing w:beforeAutospacing="0" w:afterAutospacing="0" w:line="480" w:lineRule="atLeast"/>
        <w:jc w:val="both"/>
        <w:rPr>
          <w:rFonts w:ascii="Calibri" w:hAnsi="Calibri" w:cs="Calibri"/>
          <w:color w:val="000000"/>
          <w:szCs w:val="24"/>
        </w:rPr>
      </w:pPr>
    </w:p>
    <w:p w:rsidR="00FB1FC5" w:rsidRDefault="00FB1FC5">
      <w:pPr>
        <w:pStyle w:val="a3"/>
        <w:widowControl/>
        <w:shd w:val="clear" w:color="auto" w:fill="FFFFFF"/>
        <w:spacing w:beforeAutospacing="0" w:afterAutospacing="0" w:line="480" w:lineRule="exact"/>
        <w:jc w:val="both"/>
        <w:rPr>
          <w:rFonts w:ascii="方正小标宋_GBK" w:eastAsia="方正小标宋_GBK" w:hAnsi="方正小标宋_GBK" w:cs="方正小标宋_GBK"/>
          <w:color w:val="000000"/>
          <w:sz w:val="32"/>
          <w:szCs w:val="32"/>
          <w:shd w:val="clear" w:color="auto" w:fill="FFFFFF"/>
        </w:rPr>
      </w:pPr>
    </w:p>
    <w:p w:rsidR="00FB1FC5" w:rsidRDefault="00FB1FC5">
      <w:pPr>
        <w:jc w:val="left"/>
        <w:rPr>
          <w:rFonts w:ascii="仿宋" w:eastAsia="仿宋" w:hAnsi="仿宋" w:cs="仿宋"/>
          <w:b/>
          <w:bCs/>
          <w:sz w:val="30"/>
          <w:szCs w:val="30"/>
        </w:rPr>
      </w:pPr>
      <w:bookmarkStart w:id="0" w:name="_GoBack"/>
      <w:bookmarkEnd w:id="0"/>
    </w:p>
    <w:sectPr w:rsidR="00FB1FC5" w:rsidSect="00FB1FC5">
      <w:pgSz w:w="11906" w:h="16838"/>
      <w:pgMar w:top="1440" w:right="1134" w:bottom="1440" w:left="1701"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B41BE"/>
    <w:multiLevelType w:val="hybridMultilevel"/>
    <w:tmpl w:val="57F02A48"/>
    <w:lvl w:ilvl="0" w:tplc="8C58AE62">
      <w:start w:val="3"/>
      <w:numFmt w:val="japaneseCounting"/>
      <w:lvlText w:val="%1、"/>
      <w:lvlJc w:val="left"/>
      <w:pPr>
        <w:ind w:left="1360" w:hanging="720"/>
      </w:pPr>
      <w:rPr>
        <w:rFonts w:ascii="黑体" w:eastAsia="黑体" w:hAnsi="黑体" w:cs="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12060B7"/>
    <w:multiLevelType w:val="singleLevel"/>
    <w:tmpl w:val="312060B7"/>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characterSpacingControl w:val="compressPunctuation"/>
  <w:compat>
    <w:spaceForUL/>
    <w:balanceSingleByteDoubleByteWidth/>
    <w:doNotLeaveBackslashAlone/>
    <w:ulTrailSpace/>
    <w:doNotExpandShiftReturn/>
    <w:adjustLineHeightInTable/>
    <w:useFELayout/>
  </w:compat>
  <w:docVars>
    <w:docVar w:name="commondata" w:val=""/>
    <w:docVar w:name="KSO_WPS_MARK_KEY" w:val="墜ӱȐȑ;&amp;儰ȏ؀ȑȒ䀀Ϳࠄ䋘°墴ӱ;ȑ׳;ȐЉ裰ӱ䀀Ϳ ȑ 뢘Ǉ头ӱЉӱ夌ӱ奤ӱ姌ӱ妼ӱ娔ӱ婤ӱ婬ӱ嫼ӱ嫄ӱ嬜ӱ宔ӱ孴ӱ富ӱ尬ӱ尤ӱ屼ӱ峄ӱ"/>
  </w:docVars>
  <w:rsids>
    <w:rsidRoot w:val="00FB1FC5"/>
    <w:rsid w:val="00000E0C"/>
    <w:rsid w:val="004361E1"/>
    <w:rsid w:val="004B328B"/>
    <w:rsid w:val="004B4D37"/>
    <w:rsid w:val="00686731"/>
    <w:rsid w:val="006C2C17"/>
    <w:rsid w:val="007A66A1"/>
    <w:rsid w:val="00861938"/>
    <w:rsid w:val="008B771F"/>
    <w:rsid w:val="00933178"/>
    <w:rsid w:val="00963219"/>
    <w:rsid w:val="00B34C5F"/>
    <w:rsid w:val="00B75A0F"/>
    <w:rsid w:val="00BD1F0C"/>
    <w:rsid w:val="00C5525F"/>
    <w:rsid w:val="00E9481E"/>
    <w:rsid w:val="00EE2A52"/>
    <w:rsid w:val="00EF0FD9"/>
    <w:rsid w:val="00FB1FC5"/>
    <w:rsid w:val="1EA33F65"/>
    <w:rsid w:val="269E5DD8"/>
    <w:rsid w:val="4B7239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1FC5"/>
    <w:pPr>
      <w:widowControl w:val="0"/>
      <w:jc w:val="both"/>
    </w:pPr>
    <w:rPr>
      <w:rFonts w:ascii="Times New Roman" w:eastAsia="仿宋_GB2312"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B1FC5"/>
    <w:pPr>
      <w:spacing w:beforeAutospacing="1" w:afterAutospacing="1"/>
      <w:jc w:val="left"/>
    </w:pPr>
    <w:rPr>
      <w:kern w:val="0"/>
      <w:sz w:val="24"/>
    </w:rPr>
  </w:style>
  <w:style w:type="paragraph" w:customStyle="1" w:styleId="1">
    <w:name w:val="列出段落1"/>
    <w:basedOn w:val="a"/>
    <w:uiPriority w:val="99"/>
    <w:qFormat/>
    <w:rsid w:val="00FB1FC5"/>
    <w:pPr>
      <w:ind w:firstLineChars="200" w:firstLine="420"/>
    </w:pPr>
    <w:rPr>
      <w:szCs w:val="24"/>
    </w:rPr>
  </w:style>
  <w:style w:type="paragraph" w:styleId="a4">
    <w:name w:val="List Paragraph"/>
    <w:basedOn w:val="a"/>
    <w:uiPriority w:val="99"/>
    <w:unhideWhenUsed/>
    <w:rsid w:val="0068673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xtzj</cp:lastModifiedBy>
  <cp:revision>11</cp:revision>
  <dcterms:created xsi:type="dcterms:W3CDTF">2024-05-30T03:47:00Z</dcterms:created>
  <dcterms:modified xsi:type="dcterms:W3CDTF">2024-06-04T01:29:00Z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D1BA0F076F3F45F5A4EC113A94463AE6_12</vt:lpwstr>
  </property>
</Properties>
</file>