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2BF08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 w14:paraId="0D2CEBC5">
      <w:pPr>
        <w:spacing w:line="600" w:lineRule="exact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5A73FA0B">
      <w:pPr>
        <w:spacing w:line="600" w:lineRule="exact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6F46EAE8">
      <w:pPr>
        <w:jc w:val="center"/>
        <w:rPr>
          <w:rFonts w:hint="eastAsia" w:asciiTheme="majorEastAsia" w:hAnsiTheme="majorEastAsia" w:eastAsiaTheme="majorEastAsia" w:cstheme="majorEastAsia"/>
          <w:sz w:val="52"/>
          <w:szCs w:val="5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52"/>
          <w:szCs w:val="52"/>
        </w:rPr>
        <w:t>202</w:t>
      </w:r>
      <w:r>
        <w:rPr>
          <w:rFonts w:hint="eastAsia" w:asciiTheme="majorEastAsia" w:hAnsiTheme="majorEastAsia" w:eastAsiaTheme="majorEastAsia" w:cstheme="majorEastAsia"/>
          <w:sz w:val="52"/>
          <w:szCs w:val="52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sz w:val="52"/>
          <w:szCs w:val="52"/>
        </w:rPr>
        <w:t>年度</w:t>
      </w:r>
      <w:r>
        <w:rPr>
          <w:rFonts w:hint="eastAsia" w:asciiTheme="majorEastAsia" w:hAnsiTheme="majorEastAsia" w:eastAsiaTheme="majorEastAsia" w:cstheme="majorEastAsia"/>
          <w:sz w:val="52"/>
          <w:szCs w:val="52"/>
          <w:lang w:eastAsia="zh-CN"/>
        </w:rPr>
        <w:t>城步苗族自治县教育局</w:t>
      </w:r>
    </w:p>
    <w:p w14:paraId="0E85AFC6">
      <w:pPr>
        <w:jc w:val="center"/>
        <w:rPr>
          <w:rFonts w:hint="eastAsia" w:asciiTheme="majorEastAsia" w:hAnsiTheme="majorEastAsia" w:eastAsiaTheme="majorEastAsia" w:cstheme="majorEastAsia"/>
          <w:sz w:val="52"/>
          <w:szCs w:val="52"/>
        </w:rPr>
      </w:pPr>
      <w:r>
        <w:rPr>
          <w:rFonts w:hint="eastAsia" w:asciiTheme="majorEastAsia" w:hAnsiTheme="majorEastAsia" w:eastAsiaTheme="majorEastAsia" w:cstheme="majorEastAsia"/>
          <w:sz w:val="52"/>
          <w:szCs w:val="52"/>
          <w:lang w:eastAsia="zh-CN"/>
        </w:rPr>
        <w:t>部门</w:t>
      </w:r>
      <w:r>
        <w:rPr>
          <w:rFonts w:hint="eastAsia" w:asciiTheme="majorEastAsia" w:hAnsiTheme="majorEastAsia" w:eastAsiaTheme="majorEastAsia" w:cstheme="majorEastAsia"/>
          <w:sz w:val="52"/>
          <w:szCs w:val="52"/>
        </w:rPr>
        <w:t>整体支出绩效自评报告</w:t>
      </w:r>
    </w:p>
    <w:p w14:paraId="18768318">
      <w:pPr>
        <w:jc w:val="center"/>
        <w:rPr>
          <w:rFonts w:hint="eastAsia" w:asciiTheme="majorEastAsia" w:hAnsiTheme="majorEastAsia" w:eastAsiaTheme="majorEastAsia" w:cstheme="majorEastAsia"/>
          <w:b/>
          <w:sz w:val="52"/>
          <w:szCs w:val="52"/>
        </w:rPr>
      </w:pPr>
    </w:p>
    <w:p w14:paraId="1A2854AE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744B3A5E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070FDD08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1F26CA1A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2A674651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5A630708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3136AC9A">
      <w:pPr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 w14:paraId="6F159D5D">
      <w:pPr>
        <w:spacing w:line="600" w:lineRule="exact"/>
        <w:ind w:firstLine="2400" w:firstLineChars="600"/>
        <w:jc w:val="both"/>
        <w:rPr>
          <w:rFonts w:hint="eastAsia" w:asciiTheme="majorEastAsia" w:hAnsiTheme="majorEastAsia" w:eastAsiaTheme="majorEastAsia" w:cstheme="majorEastAsia"/>
          <w:sz w:val="40"/>
          <w:szCs w:val="40"/>
          <w:u w:val="singl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0"/>
          <w:szCs w:val="40"/>
        </w:rPr>
        <w:t>单位名称：</w:t>
      </w:r>
      <w:r>
        <w:rPr>
          <w:rFonts w:hint="eastAsia" w:asciiTheme="majorEastAsia" w:hAnsiTheme="majorEastAsia" w:eastAsiaTheme="majorEastAsia" w:cstheme="majorEastAsia"/>
          <w:sz w:val="40"/>
          <w:szCs w:val="40"/>
          <w:u w:val="single"/>
          <w:lang w:eastAsia="zh-CN"/>
        </w:rPr>
        <w:t>（盖章）</w:t>
      </w:r>
      <w:r>
        <w:rPr>
          <w:rFonts w:hint="eastAsia" w:asciiTheme="majorEastAsia" w:hAnsiTheme="majorEastAsia" w:eastAsiaTheme="majorEastAsia" w:cstheme="majorEastAsia"/>
          <w:sz w:val="40"/>
          <w:szCs w:val="40"/>
          <w:u w:val="single"/>
          <w:lang w:val="en-US" w:eastAsia="zh-CN"/>
        </w:rPr>
        <w:t xml:space="preserve">    </w:t>
      </w:r>
    </w:p>
    <w:p w14:paraId="44572BDE">
      <w:pPr>
        <w:spacing w:line="600" w:lineRule="exact"/>
        <w:ind w:firstLine="2800" w:firstLineChars="700"/>
        <w:jc w:val="both"/>
        <w:rPr>
          <w:rFonts w:hint="eastAsia" w:asciiTheme="majorEastAsia" w:hAnsiTheme="majorEastAsia" w:eastAsiaTheme="majorEastAsia" w:cstheme="majorEastAsia"/>
          <w:sz w:val="40"/>
          <w:szCs w:val="40"/>
        </w:rPr>
      </w:pPr>
      <w:r>
        <w:rPr>
          <w:rFonts w:hint="eastAsia" w:asciiTheme="majorEastAsia" w:hAnsiTheme="majorEastAsia" w:eastAsiaTheme="majorEastAsia" w:cstheme="majorEastAsia"/>
          <w:sz w:val="40"/>
          <w:szCs w:val="40"/>
          <w:lang w:val="en-US" w:eastAsia="zh-CN"/>
        </w:rPr>
        <w:t>2024</w:t>
      </w:r>
      <w:r>
        <w:rPr>
          <w:rFonts w:hint="eastAsia" w:asciiTheme="majorEastAsia" w:hAnsiTheme="majorEastAsia" w:eastAsiaTheme="majorEastAsia" w:cstheme="majorEastAsia"/>
          <w:sz w:val="40"/>
          <w:szCs w:val="40"/>
        </w:rPr>
        <w:t>年</w:t>
      </w:r>
      <w:r>
        <w:rPr>
          <w:rFonts w:hint="eastAsia" w:asciiTheme="majorEastAsia" w:hAnsiTheme="majorEastAsia" w:eastAsiaTheme="majorEastAsia" w:cstheme="majorEastAsia"/>
          <w:sz w:val="40"/>
          <w:szCs w:val="40"/>
          <w:lang w:val="en-US" w:eastAsia="zh-CN"/>
        </w:rPr>
        <w:t xml:space="preserve"> 5 </w:t>
      </w:r>
      <w:r>
        <w:rPr>
          <w:rFonts w:hint="eastAsia" w:asciiTheme="majorEastAsia" w:hAnsiTheme="majorEastAsia" w:eastAsiaTheme="majorEastAsia" w:cstheme="majorEastAsia"/>
          <w:sz w:val="40"/>
          <w:szCs w:val="40"/>
        </w:rPr>
        <w:t>月</w:t>
      </w:r>
      <w:r>
        <w:rPr>
          <w:rFonts w:hint="eastAsia" w:asciiTheme="majorEastAsia" w:hAnsiTheme="majorEastAsia" w:eastAsiaTheme="majorEastAsia" w:cstheme="majorEastAsia"/>
          <w:sz w:val="40"/>
          <w:szCs w:val="40"/>
          <w:lang w:val="en-US" w:eastAsia="zh-CN"/>
        </w:rPr>
        <w:t>31</w:t>
      </w:r>
      <w:r>
        <w:rPr>
          <w:rFonts w:hint="eastAsia" w:asciiTheme="majorEastAsia" w:hAnsiTheme="majorEastAsia" w:eastAsiaTheme="majorEastAsia" w:cstheme="majorEastAsia"/>
          <w:sz w:val="40"/>
          <w:szCs w:val="40"/>
        </w:rPr>
        <w:t>日</w:t>
      </w:r>
    </w:p>
    <w:p w14:paraId="52D44619">
      <w:pPr>
        <w:rPr>
          <w:rFonts w:hint="eastAsia" w:asciiTheme="majorEastAsia" w:hAnsiTheme="majorEastAsia" w:eastAsiaTheme="majorEastAsia" w:cstheme="majorEastAsia"/>
        </w:rPr>
      </w:pPr>
    </w:p>
    <w:p w14:paraId="25A4AAFA">
      <w:pPr>
        <w:rPr>
          <w:rFonts w:hint="eastAsia" w:asciiTheme="majorEastAsia" w:hAnsiTheme="majorEastAsia" w:eastAsiaTheme="majorEastAsia" w:cstheme="majorEastAsia"/>
        </w:rPr>
      </w:pPr>
    </w:p>
    <w:p w14:paraId="7D8B835D">
      <w:pPr>
        <w:rPr>
          <w:rFonts w:hint="eastAsia" w:asciiTheme="majorEastAsia" w:hAnsiTheme="majorEastAsia" w:eastAsiaTheme="majorEastAsia" w:cstheme="majorEastAsia"/>
        </w:rPr>
      </w:pPr>
    </w:p>
    <w:p w14:paraId="2032E3FE">
      <w:pPr>
        <w:rPr>
          <w:rFonts w:hint="eastAsia" w:asciiTheme="majorEastAsia" w:hAnsiTheme="majorEastAsia" w:eastAsiaTheme="majorEastAsia" w:cstheme="majorEastAsia"/>
        </w:rPr>
      </w:pPr>
    </w:p>
    <w:p w14:paraId="1E81930D">
      <w:pPr>
        <w:rPr>
          <w:rFonts w:hint="eastAsia" w:asciiTheme="majorEastAsia" w:hAnsiTheme="majorEastAsia" w:eastAsiaTheme="majorEastAsia" w:cstheme="majorEastAsia"/>
        </w:rPr>
      </w:pPr>
    </w:p>
    <w:p w14:paraId="29B260C0">
      <w:pPr>
        <w:rPr>
          <w:rFonts w:hint="eastAsia" w:asciiTheme="majorEastAsia" w:hAnsiTheme="majorEastAsia" w:eastAsiaTheme="majorEastAsia" w:cstheme="majorEastAsia"/>
        </w:rPr>
      </w:pPr>
    </w:p>
    <w:p w14:paraId="2B428B00">
      <w:pPr>
        <w:rPr>
          <w:rFonts w:hint="eastAsia" w:asciiTheme="majorEastAsia" w:hAnsiTheme="majorEastAsia" w:eastAsiaTheme="majorEastAsia" w:cstheme="majorEastAsia"/>
        </w:rPr>
      </w:pPr>
    </w:p>
    <w:p w14:paraId="65B8257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45E65316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城步苗族自治县教育局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部门整体支出绩效自评报告</w:t>
      </w:r>
    </w:p>
    <w:p w14:paraId="0106A1D8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A2D94DC">
      <w:pPr>
        <w:pStyle w:val="4"/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240" w:lineRule="atLeast"/>
        <w:ind w:left="0" w:right="0" w:firstLine="640" w:firstLineChars="20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根据《城步苗族自治县财政局关于开展2023年度财政支出绩效自评工作的通知》</w:t>
      </w:r>
      <w:r>
        <w:rPr>
          <w:rStyle w:val="8"/>
          <w:rFonts w:hint="eastAsia" w:asciiTheme="majorEastAsia" w:hAnsiTheme="majorEastAsia" w:eastAsiaTheme="majorEastAsia" w:cstheme="majorEastAsia"/>
          <w:bCs/>
          <w:sz w:val="32"/>
          <w:szCs w:val="32"/>
          <w:lang w:eastAsia="zh-CN"/>
        </w:rPr>
        <w:t>城财绩〔</w:t>
      </w:r>
      <w:r>
        <w:rPr>
          <w:rStyle w:val="8"/>
          <w:rFonts w:hint="eastAsia" w:asciiTheme="majorEastAsia" w:hAnsiTheme="majorEastAsia" w:eastAsiaTheme="majorEastAsia" w:cstheme="majorEastAsia"/>
          <w:bCs/>
          <w:sz w:val="32"/>
          <w:szCs w:val="32"/>
          <w:lang w:val="en-US"/>
        </w:rPr>
        <w:t>202</w:t>
      </w:r>
      <w:r>
        <w:rPr>
          <w:rStyle w:val="8"/>
          <w:rFonts w:hint="eastAsia" w:asciiTheme="majorEastAsia" w:hAnsiTheme="majorEastAsia" w:eastAsiaTheme="majorEastAsia" w:cstheme="majorEastAsia"/>
          <w:bCs/>
          <w:sz w:val="32"/>
          <w:szCs w:val="32"/>
          <w:lang w:val="en-US" w:eastAsia="zh-CN"/>
        </w:rPr>
        <w:t>3</w:t>
      </w:r>
      <w:r>
        <w:rPr>
          <w:rStyle w:val="8"/>
          <w:rFonts w:hint="eastAsia" w:asciiTheme="majorEastAsia" w:hAnsiTheme="majorEastAsia" w:eastAsiaTheme="majorEastAsia" w:cstheme="majorEastAsia"/>
          <w:bCs/>
          <w:sz w:val="32"/>
          <w:szCs w:val="32"/>
          <w:lang w:eastAsia="zh-CN"/>
        </w:rPr>
        <w:t>〕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文件精神，遵循“科学性、规范性、客观性和公正性”的原则，我局对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val="en-US"/>
        </w:rPr>
        <w:t>202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年度部门整体支出绩效进行了综合评价，现将有关情况报告如下。</w:t>
      </w:r>
    </w:p>
    <w:p w14:paraId="2D4A16D8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一、部门、单位基本情况</w:t>
      </w:r>
    </w:p>
    <w:p w14:paraId="12917E1D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（一）机构设置情况</w:t>
      </w:r>
    </w:p>
    <w:p w14:paraId="528F05CD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640" w:firstLineChars="20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教育局机关，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内设机构为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：办公室、财建股、资助中心、教研室、招生办、保障服务中心、仪电站、党风廉政室、人事股、党建办、督查室、教育督导室、工会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，二级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eastAsia="zh-CN"/>
        </w:rPr>
        <w:t>预算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单位4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个。</w:t>
      </w:r>
    </w:p>
    <w:p w14:paraId="686AC9FF"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人员编制情况</w:t>
      </w:r>
    </w:p>
    <w:p w14:paraId="1254586E"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 w:firstLine="640" w:firstLineChars="20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</w:rPr>
        <w:t>局机关编制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实有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人数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8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人、二级机构编制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实有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人数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65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人，各级各类公办学校编制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实有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人数27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37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人。</w:t>
      </w:r>
    </w:p>
    <w:p w14:paraId="014FD222"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主要职能职责</w:t>
      </w:r>
    </w:p>
    <w:p w14:paraId="5E4B02BC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1.贯彻落实党的教育方针以及国家、省、市有关教育的政策和法律、法规和规章；拟订全县教育改革与发展战略、规划、政策并组织实施；拟定地方性管理办法并监督执行。</w:t>
      </w:r>
    </w:p>
    <w:p w14:paraId="16DC3BC9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2.统筹规划和协调管理全县各类教育，促进高中教育、学前教育、职业技术教育、民族教育、特殊教育协调发展；推进义务教育均衡发展，促进教育公平。</w:t>
      </w:r>
    </w:p>
    <w:p w14:paraId="01FC1036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3.加强全县学校学生安全管理和全县中小学图书馆（室）的规划和管理。</w:t>
      </w:r>
    </w:p>
    <w:p w14:paraId="0AFF46B1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4.加强本行业领域安全生产监督管理和食品安全有关监督管理。</w:t>
      </w:r>
    </w:p>
    <w:p w14:paraId="7ED18D2E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5.统筹管理全县教育经费；参与拟定全县教育经费筹措、教育拨款、教育收费、教育基建投资等地方性政策；负责统计和监测全县教育经费的投入和使用情况；负责全县家庭经济困难学生资助工作。</w:t>
      </w:r>
    </w:p>
    <w:p w14:paraId="70F13476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6.统筹规划学校教师和管理人员的队伍建设。会同有关部门做好教育系统机构编制和教职工招聘录用、调配交流、考核奖惩工作。负责全县教职工人事档案管理、离退休人员管理以及教师资格认定、职务评聘、培训培养等工作。</w:t>
      </w:r>
    </w:p>
    <w:p w14:paraId="17420A79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7.负责社会力量举办义务教育阶段学校、幼儿教育机构、各类短期培训机构的审批和管理；负责社会力量举办高中阶段学校的报批和管理。</w:t>
      </w:r>
    </w:p>
    <w:p w14:paraId="2F156A31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8.负责组织各类高、中等学历教育的招生考试工作；负责指导大中专毕业生就业创业工作。</w:t>
      </w:r>
    </w:p>
    <w:p w14:paraId="113A1D66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9.规划并指导各级各类学校的思想政治教育工作、德育工作、体育卫生与艺术教育及国防教育工作；指导学校群团工作；负责教育系统安全稳定工作。</w:t>
      </w:r>
    </w:p>
    <w:p w14:paraId="3AE2504B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10.负责全县语言文字工作和普通话推广工作。</w:t>
      </w:r>
    </w:p>
    <w:p w14:paraId="0DA90BB6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11.负责全县教育基本信息的统计、分析和发布。</w:t>
      </w:r>
    </w:p>
    <w:p w14:paraId="4A5557F6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12.负责指导全县教育教学改革、教育教学研究和教育信息技术工作；负责教育技术装备、教学仪器和音像教材配备工作；指导全县勤工俭学工作。</w:t>
      </w:r>
    </w:p>
    <w:p w14:paraId="4EC35798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13.承担县委教育工作领导小组</w:t>
      </w:r>
    </w:p>
    <w:p w14:paraId="181CF984">
      <w:pPr>
        <w:pStyle w:val="4"/>
        <w:widowControl/>
        <w:autoSpaceDE w:val="0"/>
        <w:spacing w:before="0" w:beforeAutospacing="0" w:after="0" w:afterAutospacing="0" w:line="240" w:lineRule="atLeast"/>
        <w:ind w:firstLine="640" w:firstLineChars="20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color w:val="333333"/>
          <w:sz w:val="32"/>
          <w:szCs w:val="32"/>
        </w:rPr>
        <w:t>14.承办县委、县政府交办的其他工作。</w:t>
      </w:r>
    </w:p>
    <w:p w14:paraId="0CF82CC8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（四）绩效目标设定情况</w:t>
      </w:r>
    </w:p>
    <w:p w14:paraId="0D9EB4F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>1、项目绩效总目标：充分发挥资金经济性、效率性和效益性，贯彻落实党和国家的教育方针政策、法律法规，全面实施素质教育，努力提高教育教学质量，稳步推进全县教育事业持续健康协调发展。 </w:t>
      </w:r>
    </w:p>
    <w:p w14:paraId="0867045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>2、项目绩效阶段性目标：改善办学条件，推进学校建设，优化整合教学资源，提升办学条件和质量。</w:t>
      </w:r>
    </w:p>
    <w:p w14:paraId="3DDB79E4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二、部门整体支出管理及使用情况</w:t>
      </w:r>
    </w:p>
    <w:p w14:paraId="2F426DA5">
      <w:pPr>
        <w:pStyle w:val="7"/>
        <w:widowControl/>
        <w:spacing w:line="600" w:lineRule="exact"/>
        <w:ind w:left="640" w:firstLine="0" w:firstLineChars="0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（一）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部门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预决算情况</w:t>
      </w:r>
    </w:p>
    <w:p w14:paraId="3A071501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1.部门预算情况</w:t>
      </w:r>
    </w:p>
    <w:p w14:paraId="3C167B90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2023年年初预算安排收入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33740.34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万元，其中一般公共财政拨款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33740.34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万元；2023年年初预算安排支出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33740.34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万元。</w:t>
      </w:r>
    </w:p>
    <w:p w14:paraId="18885F1B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2.部门决算情况（含年中预算追加情况）</w:t>
      </w:r>
    </w:p>
    <w:p w14:paraId="2E8FF2DB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2023年决算总收入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48452.03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万元，较预算增加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14711.69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万元，总支出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48452.03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万元，其中：基本支出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43482.2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万元，占总支出的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89.74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％；项目支出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4969.84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万元，占总支出的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10.26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％。差异产生的主要原因是上级项目经费。</w:t>
      </w:r>
    </w:p>
    <w:p w14:paraId="3F3CB73B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kern w:val="2"/>
          <w:sz w:val="32"/>
          <w:szCs w:val="32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kern w:val="2"/>
          <w:sz w:val="32"/>
          <w:szCs w:val="32"/>
          <w:lang w:val="en-US" w:eastAsia="zh-CN" w:bidi="ar-SA"/>
        </w:rPr>
        <w:t>（二）部门预算执行情况</w:t>
      </w:r>
    </w:p>
    <w:p w14:paraId="45994225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.“三公”经费执行情况</w:t>
      </w:r>
    </w:p>
    <w:p w14:paraId="215A21C6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2023年“三公”经费预算数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14.11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万元，其中：因公出国（境）费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万元，公务用车购置及运行维护费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万元，公务接待费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14.11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万元。“三公”经费决算数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12.31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元，其中：因公出国（境）费*万元，公务用车运行维护费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万元，公务接待费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12.31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万元。</w:t>
      </w:r>
    </w:p>
    <w:p w14:paraId="76457106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.政府采购执行情况</w:t>
      </w:r>
    </w:p>
    <w:p w14:paraId="38A96B6C">
      <w:pPr>
        <w:spacing w:line="600" w:lineRule="exact"/>
        <w:ind w:firstLine="640" w:firstLineChars="200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2023年度政府采购支出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5268.4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万元，其中：货物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998.77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元，工程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4065.4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万元，服务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204.22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万元。</w:t>
      </w:r>
    </w:p>
    <w:p w14:paraId="6E1D6242"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政府性基金预算支出情况</w:t>
      </w:r>
    </w:p>
    <w:p w14:paraId="3DA92135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color w:val="auto"/>
          <w:kern w:val="0"/>
          <w:sz w:val="32"/>
          <w:szCs w:val="32"/>
          <w:lang w:val="en-US" w:eastAsia="zh-CN" w:bidi="ar-SA"/>
        </w:rPr>
        <w:t>2023年政府性基金预算支出1550.53万元。</w:t>
      </w:r>
    </w:p>
    <w:p w14:paraId="698DC653"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国有资本经营预算支出情况</w:t>
      </w:r>
    </w:p>
    <w:p w14:paraId="183840A5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color w:val="auto"/>
          <w:kern w:val="0"/>
          <w:sz w:val="32"/>
          <w:szCs w:val="32"/>
          <w:lang w:val="en-US" w:eastAsia="zh-CN" w:bidi="ar-SA"/>
        </w:rPr>
        <w:t>本年度无国有资本经营预算的支出。</w:t>
      </w:r>
    </w:p>
    <w:p w14:paraId="542FF9A8"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社会保险基金预算支出情况</w:t>
      </w:r>
    </w:p>
    <w:p w14:paraId="606AE23A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Theme="majorEastAsia" w:hAnsiTheme="majorEastAsia" w:eastAsiaTheme="majorEastAsia" w:cstheme="majorEastAsia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color w:val="auto"/>
          <w:kern w:val="0"/>
          <w:sz w:val="32"/>
          <w:szCs w:val="32"/>
          <w:lang w:val="en-US" w:eastAsia="zh-CN" w:bidi="ar-SA"/>
        </w:rPr>
        <w:t>本年度无社会保险基金预算的支出。</w:t>
      </w:r>
    </w:p>
    <w:p w14:paraId="442E5187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六、部门整体支出绩效情况</w:t>
      </w:r>
    </w:p>
    <w:p w14:paraId="6AC0329C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（一）综合评价结论。自评得分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100分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。</w:t>
      </w:r>
    </w:p>
    <w:p w14:paraId="1502501C"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240" w:lineRule="atLeast"/>
        <w:ind w:right="0"/>
        <w:jc w:val="left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（二）评价指标分析（或综合评价情况）。</w:t>
      </w:r>
    </w:p>
    <w:p w14:paraId="74596459"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240" w:lineRule="atLeast"/>
        <w:ind w:right="0" w:firstLine="640" w:firstLineChars="200"/>
        <w:jc w:val="left"/>
        <w:rPr>
          <w:rFonts w:hint="eastAsia" w:asciiTheme="majorEastAsia" w:hAnsiTheme="majorEastAsia" w:eastAsiaTheme="majorEastAsia" w:cstheme="majorEastAsia"/>
          <w:sz w:val="32"/>
          <w:szCs w:val="32"/>
          <w:lang w:val="en-US"/>
        </w:rPr>
      </w:pPr>
      <w:r>
        <w:rPr>
          <w:rFonts w:hint="eastAsia" w:asciiTheme="majorEastAsia" w:hAnsiTheme="majorEastAsia" w:eastAsiaTheme="majorEastAsia" w:cstheme="majorEastAsia"/>
          <w:kern w:val="2"/>
          <w:sz w:val="32"/>
          <w:szCs w:val="32"/>
          <w:lang w:val="en-US" w:eastAsia="zh-CN" w:bidi="ar"/>
        </w:rPr>
        <w:t>数量指标完成率100%，质量指标完成率100%，成本指标完成率100%，时效指标完成率100%，经济效益指标率100%，社会效益指标率100%，可持续影响指标率100%。</w:t>
      </w:r>
    </w:p>
    <w:p w14:paraId="44C4BC38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七、存在的问题及原因分析</w:t>
      </w:r>
    </w:p>
    <w:p w14:paraId="4885DC04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240" w:lineRule="atLeast"/>
        <w:ind w:left="0" w:right="0" w:firstLine="640" w:firstLineChars="200"/>
        <w:jc w:val="both"/>
        <w:rPr>
          <w:rFonts w:hint="eastAsia" w:asciiTheme="majorEastAsia" w:hAnsiTheme="majorEastAsia" w:eastAsiaTheme="majorEastAsia" w:cstheme="majorEastAsia"/>
          <w:color w:val="333333"/>
          <w:sz w:val="32"/>
          <w:szCs w:val="32"/>
          <w:lang w:val="en-US"/>
        </w:rPr>
      </w:pPr>
      <w:r>
        <w:rPr>
          <w:rFonts w:hint="eastAsia" w:asciiTheme="majorEastAsia" w:hAnsiTheme="majorEastAsia" w:eastAsiaTheme="majorEastAsia" w:cstheme="majorEastAsia"/>
          <w:kern w:val="2"/>
          <w:sz w:val="32"/>
          <w:szCs w:val="32"/>
          <w:lang w:val="en-US" w:eastAsia="zh-CN" w:bidi="ar"/>
        </w:rPr>
        <w:t>单位财务人员有待培训学习，对财务人员来说无论是账务处理还是对政策的学习都有待系统培训。严格控制公用开支。</w:t>
      </w:r>
    </w:p>
    <w:p w14:paraId="6BF3CDE6"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下一步改进措施</w:t>
      </w:r>
    </w:p>
    <w:p w14:paraId="3C9BAA04">
      <w:pPr>
        <w:pStyle w:val="2"/>
        <w:ind w:left="0" w:leftChars="0" w:firstLine="640" w:firstLineChars="200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  <w:t>加强财务人员业务学习。</w:t>
      </w:r>
    </w:p>
    <w:p w14:paraId="5B976E90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九、其他需要说明的情况</w:t>
      </w:r>
    </w:p>
    <w:p w14:paraId="5F3A8A0D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600" w:firstLineChars="200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0"/>
          <w:szCs w:val="30"/>
          <w:lang w:eastAsia="zh-CN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0"/>
          <w:szCs w:val="30"/>
          <w:lang w:eastAsia="zh-CN"/>
        </w:rPr>
        <w:t>无</w:t>
      </w:r>
    </w:p>
    <w:p w14:paraId="2EDDF687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bookmarkStart w:id="0" w:name="_GoBack"/>
      <w:bookmarkEnd w:id="0"/>
    </w:p>
    <w:p w14:paraId="77419E62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375665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F5FA4B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9B6786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26B295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C115B1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A89F759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12F2EA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46D6F8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D3F4CD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2D1BF6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1385B0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02E2F88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4C06B67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B508A5D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both"/>
        <w:textAlignment w:val="auto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 w14:paraId="5921755E">
      <w:pPr>
        <w:jc w:val="left"/>
        <w:rPr>
          <w:rFonts w:hint="eastAsia" w:asciiTheme="majorEastAsia" w:hAnsiTheme="majorEastAsia" w:eastAsiaTheme="majorEastAsia" w:cstheme="majorEastAsia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134" w:bottom="1440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6395EF"/>
    <w:multiLevelType w:val="singleLevel"/>
    <w:tmpl w:val="8C6395EF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12060B7"/>
    <w:multiLevelType w:val="singleLevel"/>
    <w:tmpl w:val="312060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83BCCF2"/>
    <w:multiLevelType w:val="singleLevel"/>
    <w:tmpl w:val="583BCCF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3NzQ3N2EyODY4OTFlNzQ5YWM2ZTk1ZjBiYWZlNTkifQ=="/>
    <w:docVar w:name="KSO_WPS_MARK_KEY" w:val="2cad2da4-8c74-4208-b950-09c4ddb6f378"/>
  </w:docVars>
  <w:rsids>
    <w:rsidRoot w:val="00000000"/>
    <w:rsid w:val="1EA33F65"/>
    <w:rsid w:val="269E5DD8"/>
    <w:rsid w:val="27C634CD"/>
    <w:rsid w:val="2B560448"/>
    <w:rsid w:val="2D016192"/>
    <w:rsid w:val="40002692"/>
    <w:rsid w:val="4B72396B"/>
    <w:rsid w:val="4E9E163B"/>
    <w:rsid w:val="54D3185A"/>
    <w:rsid w:val="5A202ADD"/>
    <w:rsid w:val="5D926D13"/>
    <w:rsid w:val="78DE2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</w:style>
  <w:style w:type="paragraph" w:styleId="3">
    <w:name w:val="Body Text Indent"/>
    <w:basedOn w:val="1"/>
    <w:qFormat/>
    <w:uiPriority w:val="99"/>
    <w:pPr>
      <w:ind w:left="420" w:leftChars="200"/>
    </w:p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List Paragraph"/>
    <w:basedOn w:val="1"/>
    <w:autoRedefine/>
    <w:qFormat/>
    <w:uiPriority w:val="99"/>
    <w:pPr>
      <w:ind w:firstLine="420" w:firstLineChars="200"/>
    </w:pPr>
    <w:rPr>
      <w:rFonts w:ascii="Times New Roman" w:hAnsi="Times New Roman"/>
      <w:szCs w:val="24"/>
    </w:rPr>
  </w:style>
  <w:style w:type="character" w:customStyle="1" w:styleId="8">
    <w:name w:val="15"/>
    <w:basedOn w:val="6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169</Words>
  <Characters>188</Characters>
  <Lines>0</Lines>
  <Paragraphs>0</Paragraphs>
  <TotalTime>11</TotalTime>
  <ScaleCrop>false</ScaleCrop>
  <LinksUpToDate>false</LinksUpToDate>
  <CharactersWithSpaces>194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2021-09-17T07:11:00Z</dcterms:created>
  <dc:creator>Administrator</dc:creator>
  <cp:lastModifiedBy>林如吉祥</cp:lastModifiedBy>
  <dcterms:modified xsi:type="dcterms:W3CDTF">2024-11-13T03:16:00Z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9152264915B5408DA951311557082AEE_13</vt:lpwstr>
  </property>
</Properties>
</file>