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
      <w:pPr>
        <w:spacing w:line="400" w:lineRule="exact"/>
        <w:jc w:val="center"/>
        <w:rPr>
          <w:color w:val="000000"/>
          <w:sz w:val="28"/>
        </w:rPr>
      </w:pPr>
    </w:p>
    <w:p>
      <w:pPr>
        <w:spacing w:line="400" w:lineRule="exact"/>
        <w:jc w:val="center"/>
        <w:rPr>
          <w:color w:val="000000"/>
          <w:sz w:val="28"/>
        </w:rPr>
      </w:pPr>
    </w:p>
    <w:p>
      <w:pPr>
        <w:spacing w:line="340" w:lineRule="exact"/>
        <w:jc w:val="right"/>
        <w:rPr>
          <w:color w:val="000000"/>
          <w:sz w:val="21"/>
          <w:szCs w:val="24"/>
        </w:rPr>
      </w:pPr>
    </w:p>
    <w:p>
      <w:pPr>
        <w:spacing w:line="340" w:lineRule="exact"/>
        <w:jc w:val="right"/>
        <w:rPr>
          <w:color w:val="000000"/>
          <w:sz w:val="21"/>
          <w:szCs w:val="24"/>
        </w:rPr>
      </w:pPr>
    </w:p>
    <w:p>
      <w:pPr>
        <w:spacing w:line="340" w:lineRule="exact"/>
        <w:jc w:val="right"/>
        <w:rPr>
          <w:color w:val="000000"/>
          <w:sz w:val="21"/>
          <w:szCs w:val="24"/>
        </w:rPr>
      </w:pPr>
    </w:p>
    <w:p>
      <w:pPr>
        <w:spacing w:line="340" w:lineRule="exact"/>
        <w:jc w:val="right"/>
        <w:rPr>
          <w:color w:val="000000"/>
          <w:sz w:val="21"/>
          <w:szCs w:val="24"/>
        </w:rPr>
      </w:pPr>
    </w:p>
    <w:p>
      <w:pPr>
        <w:spacing w:line="340" w:lineRule="exact"/>
        <w:jc w:val="right"/>
        <w:rPr>
          <w:color w:val="000000"/>
          <w:sz w:val="21"/>
          <w:szCs w:val="24"/>
        </w:rPr>
      </w:pPr>
    </w:p>
    <w:p>
      <w:pPr>
        <w:spacing w:line="340" w:lineRule="exact"/>
        <w:jc w:val="right"/>
        <w:rPr>
          <w:color w:val="000000"/>
          <w:sz w:val="21"/>
          <w:szCs w:val="24"/>
        </w:rPr>
      </w:pPr>
    </w:p>
    <w:p>
      <w:pPr>
        <w:spacing w:before="104" w:line="219" w:lineRule="auto"/>
        <w:ind w:right="197"/>
        <w:jc w:val="right"/>
        <w:rPr>
          <w:rFonts w:ascii="宋体" w:hAnsi="宋体" w:eastAsia="宋体" w:cs="宋体"/>
          <w:sz w:val="32"/>
          <w:szCs w:val="32"/>
        </w:rPr>
      </w:pPr>
      <w:r>
        <w:rPr>
          <w:rFonts w:ascii="宋体" w:hAnsi="宋体" w:eastAsia="宋体" w:cs="宋体"/>
          <w:spacing w:val="7"/>
          <w:sz w:val="32"/>
          <w:szCs w:val="32"/>
        </w:rPr>
        <w:t>湖南弘信园所[2022]绩字第</w:t>
      </w:r>
      <w:r>
        <w:rPr>
          <w:rFonts w:hint="eastAsia" w:ascii="宋体" w:hAnsi="宋体" w:eastAsia="宋体" w:cs="宋体"/>
          <w:spacing w:val="7"/>
          <w:sz w:val="32"/>
          <w:szCs w:val="32"/>
          <w:lang w:val="en-US" w:eastAsia="zh-CN"/>
        </w:rPr>
        <w:t xml:space="preserve">  878</w:t>
      </w:r>
      <w:bookmarkStart w:id="0" w:name="_GoBack"/>
      <w:bookmarkEnd w:id="0"/>
      <w:r>
        <w:rPr>
          <w:rFonts w:hint="eastAsia" w:ascii="宋体" w:hAnsi="宋体" w:eastAsia="宋体" w:cs="宋体"/>
          <w:spacing w:val="7"/>
          <w:sz w:val="32"/>
          <w:szCs w:val="32"/>
          <w:lang w:val="en-US" w:eastAsia="zh-CN"/>
        </w:rPr>
        <w:t xml:space="preserve"> </w:t>
      </w:r>
      <w:r>
        <w:rPr>
          <w:rFonts w:ascii="宋体" w:hAnsi="宋体" w:eastAsia="宋体" w:cs="宋体"/>
          <w:spacing w:val="7"/>
          <w:sz w:val="32"/>
          <w:szCs w:val="32"/>
        </w:rPr>
        <w:t>号</w:t>
      </w:r>
    </w:p>
    <w:p>
      <w:pPr>
        <w:spacing w:line="340" w:lineRule="exact"/>
        <w:jc w:val="right"/>
        <w:rPr>
          <w:color w:val="000000"/>
          <w:sz w:val="21"/>
          <w:szCs w:val="24"/>
        </w:rPr>
      </w:pPr>
    </w:p>
    <w:p>
      <w:pPr>
        <w:spacing w:line="574" w:lineRule="exact"/>
        <w:jc w:val="center"/>
        <w:rPr>
          <w:rFonts w:hint="eastAsia" w:eastAsia="宋体"/>
          <w:b/>
          <w:bCs/>
          <w:color w:val="000000"/>
          <w:sz w:val="36"/>
          <w:szCs w:val="28"/>
          <w:lang w:val="en-US" w:eastAsia="zh-CN"/>
        </w:rPr>
      </w:pPr>
      <w:r>
        <w:rPr>
          <w:rFonts w:hint="eastAsia" w:eastAsia="宋体"/>
          <w:b/>
          <w:bCs/>
          <w:color w:val="000000"/>
          <w:sz w:val="36"/>
          <w:szCs w:val="28"/>
          <w:lang w:val="en-US" w:eastAsia="zh-CN"/>
        </w:rPr>
        <w:t>城步苗族自治县城乡居民社会养老保险管理站</w:t>
      </w:r>
    </w:p>
    <w:p>
      <w:pPr>
        <w:spacing w:line="574" w:lineRule="exact"/>
        <w:jc w:val="center"/>
        <w:rPr>
          <w:rFonts w:hint="eastAsia" w:ascii="宋体" w:hAnsi="宋体" w:eastAsia="宋体" w:cs="宋体"/>
          <w:b/>
          <w:bCs/>
          <w:color w:val="000000"/>
          <w:sz w:val="36"/>
          <w:szCs w:val="36"/>
        </w:rPr>
      </w:pPr>
      <w:r>
        <w:rPr>
          <w:rFonts w:hint="eastAsia" w:ascii="宋体" w:hAnsi="宋体" w:eastAsia="宋体" w:cs="宋体"/>
          <w:b/>
          <w:bCs/>
          <w:color w:val="000000"/>
          <w:sz w:val="36"/>
          <w:szCs w:val="36"/>
        </w:rPr>
        <w:t>202</w:t>
      </w:r>
      <w:r>
        <w:rPr>
          <w:rFonts w:hint="eastAsia" w:ascii="宋体" w:hAnsi="宋体" w:eastAsia="宋体" w:cs="宋体"/>
          <w:b/>
          <w:bCs/>
          <w:color w:val="000000"/>
          <w:sz w:val="36"/>
          <w:szCs w:val="36"/>
          <w:lang w:val="en-US" w:eastAsia="zh-CN"/>
        </w:rPr>
        <w:t>1</w:t>
      </w:r>
      <w:r>
        <w:rPr>
          <w:rFonts w:hint="eastAsia" w:ascii="宋体" w:hAnsi="宋体" w:eastAsia="宋体" w:cs="宋体"/>
          <w:b/>
          <w:bCs/>
          <w:color w:val="000000"/>
          <w:sz w:val="36"/>
          <w:szCs w:val="36"/>
        </w:rPr>
        <w:t>年度</w:t>
      </w:r>
      <w:r>
        <w:rPr>
          <w:rFonts w:hint="eastAsia" w:ascii="宋体" w:hAnsi="宋体" w:eastAsia="宋体" w:cs="宋体"/>
          <w:b/>
          <w:bCs/>
          <w:color w:val="000000"/>
          <w:sz w:val="36"/>
          <w:szCs w:val="36"/>
          <w:lang w:eastAsia="zh-CN"/>
        </w:rPr>
        <w:t>社保基金专项</w:t>
      </w:r>
      <w:r>
        <w:rPr>
          <w:rFonts w:hint="eastAsia" w:ascii="宋体" w:hAnsi="宋体" w:eastAsia="宋体" w:cs="宋体"/>
          <w:b/>
          <w:bCs/>
          <w:color w:val="000000"/>
          <w:sz w:val="36"/>
          <w:szCs w:val="36"/>
        </w:rPr>
        <w:t>支出绩效评</w:t>
      </w:r>
      <w:r>
        <w:rPr>
          <w:rFonts w:hint="eastAsia" w:ascii="宋体" w:hAnsi="宋体" w:eastAsia="宋体" w:cs="宋体"/>
          <w:b/>
          <w:bCs/>
          <w:color w:val="000000"/>
          <w:sz w:val="36"/>
          <w:szCs w:val="36"/>
          <w:lang w:val="en-US" w:eastAsia="zh-CN"/>
        </w:rPr>
        <w:t>价</w:t>
      </w:r>
      <w:r>
        <w:rPr>
          <w:rFonts w:hint="eastAsia" w:ascii="宋体" w:hAnsi="宋体" w:eastAsia="宋体" w:cs="宋体"/>
          <w:b/>
          <w:bCs/>
          <w:color w:val="000000"/>
          <w:sz w:val="36"/>
          <w:szCs w:val="36"/>
        </w:rPr>
        <w:t>报告</w:t>
      </w:r>
    </w:p>
    <w:p>
      <w:pPr>
        <w:spacing w:line="574" w:lineRule="exact"/>
        <w:jc w:val="center"/>
        <w:rPr>
          <w:rFonts w:hint="eastAsia" w:ascii="宋体" w:hAnsi="宋体" w:eastAsia="宋体" w:cs="宋体"/>
          <w:color w:val="000000"/>
          <w:sz w:val="36"/>
          <w:szCs w:val="36"/>
        </w:rPr>
      </w:pPr>
    </w:p>
    <w:p>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sz w:val="32"/>
          <w:szCs w:val="32"/>
          <w:highlight w:val="none"/>
        </w:rPr>
      </w:pPr>
      <w:r>
        <w:rPr>
          <w:rFonts w:hint="eastAsia" w:asciiTheme="minorEastAsia" w:hAnsiTheme="minorEastAsia" w:cstheme="minorEastAsia"/>
          <w:color w:val="000000"/>
          <w:sz w:val="32"/>
          <w:szCs w:val="32"/>
          <w:highlight w:val="none"/>
          <w:lang w:val="en-US" w:eastAsia="zh-CN"/>
        </w:rPr>
        <w:t>城步苗族自治县</w:t>
      </w:r>
      <w:r>
        <w:rPr>
          <w:rFonts w:hint="eastAsia" w:asciiTheme="minorEastAsia" w:hAnsiTheme="minorEastAsia" w:eastAsiaTheme="minorEastAsia" w:cstheme="minorEastAsia"/>
          <w:color w:val="000000"/>
          <w:sz w:val="32"/>
          <w:szCs w:val="32"/>
          <w:highlight w:val="none"/>
        </w:rPr>
        <w:t>财政局：</w:t>
      </w:r>
    </w:p>
    <w:p>
      <w:pPr>
        <w:keepNext w:val="0"/>
        <w:keepLines w:val="0"/>
        <w:pageBreakBefore w:val="0"/>
        <w:kinsoku/>
        <w:wordWrap/>
        <w:overflowPunct/>
        <w:topLinePunct w:val="0"/>
        <w:autoSpaceDE/>
        <w:autoSpaceDN/>
        <w:bidi w:val="0"/>
        <w:adjustRightInd/>
        <w:snapToGrid/>
        <w:spacing w:line="360" w:lineRule="auto"/>
        <w:ind w:firstLine="640" w:firstLineChars="200"/>
        <w:jc w:val="left"/>
        <w:textAlignment w:val="auto"/>
        <w:rPr>
          <w:rFonts w:hint="eastAsia" w:asciiTheme="minorEastAsia" w:hAnsiTheme="minorEastAsia" w:eastAsiaTheme="minorEastAsia" w:cstheme="minorEastAsia"/>
          <w:sz w:val="32"/>
          <w:szCs w:val="32"/>
          <w:highlight w:val="none"/>
        </w:rPr>
      </w:pPr>
      <w:r>
        <w:rPr>
          <w:rFonts w:hint="eastAsia" w:asciiTheme="minorEastAsia" w:hAnsiTheme="minorEastAsia" w:eastAsiaTheme="minorEastAsia" w:cstheme="minorEastAsia"/>
          <w:color w:val="000000"/>
          <w:sz w:val="32"/>
          <w:szCs w:val="32"/>
          <w:highlight w:val="none"/>
        </w:rPr>
        <w:t>我们受</w:t>
      </w:r>
      <w:r>
        <w:rPr>
          <w:rFonts w:hint="eastAsia" w:asciiTheme="minorEastAsia" w:hAnsiTheme="minorEastAsia" w:cstheme="minorEastAsia"/>
          <w:color w:val="000000"/>
          <w:sz w:val="32"/>
          <w:szCs w:val="32"/>
          <w:highlight w:val="none"/>
          <w:lang w:val="en-US" w:eastAsia="zh-CN"/>
        </w:rPr>
        <w:t>城步苗族自治县</w:t>
      </w:r>
      <w:r>
        <w:rPr>
          <w:rFonts w:hint="eastAsia" w:asciiTheme="minorEastAsia" w:hAnsiTheme="minorEastAsia" w:eastAsiaTheme="minorEastAsia" w:cstheme="minorEastAsia"/>
          <w:color w:val="000000"/>
          <w:sz w:val="32"/>
          <w:szCs w:val="32"/>
          <w:highlight w:val="none"/>
        </w:rPr>
        <w:t>财政局的委托，按照县财政局关于实施202</w:t>
      </w:r>
      <w:r>
        <w:rPr>
          <w:rFonts w:hint="eastAsia" w:asciiTheme="minorEastAsia" w:hAnsiTheme="minorEastAsia" w:cstheme="minorEastAsia"/>
          <w:color w:val="000000"/>
          <w:sz w:val="32"/>
          <w:szCs w:val="32"/>
          <w:highlight w:val="none"/>
          <w:lang w:val="en-US" w:eastAsia="zh-CN"/>
        </w:rPr>
        <w:t>1</w:t>
      </w:r>
      <w:r>
        <w:rPr>
          <w:rFonts w:hint="eastAsia" w:asciiTheme="minorEastAsia" w:hAnsiTheme="minorEastAsia" w:eastAsiaTheme="minorEastAsia" w:cstheme="minorEastAsia"/>
          <w:color w:val="000000"/>
          <w:sz w:val="32"/>
          <w:szCs w:val="32"/>
          <w:highlight w:val="none"/>
        </w:rPr>
        <w:t>年度部门整体支出绩效评价工作的部署，根据</w:t>
      </w:r>
      <w:r>
        <w:rPr>
          <w:rFonts w:hint="eastAsia" w:asciiTheme="minorEastAsia" w:hAnsiTheme="minorEastAsia" w:eastAsiaTheme="minorEastAsia" w:cstheme="minorEastAsia"/>
          <w:color w:val="000000"/>
          <w:sz w:val="32"/>
          <w:szCs w:val="32"/>
          <w:highlight w:val="none"/>
          <w:lang w:eastAsia="zh-CN"/>
        </w:rPr>
        <w:t>《</w:t>
      </w:r>
      <w:r>
        <w:rPr>
          <w:rFonts w:hint="eastAsia" w:asciiTheme="minorEastAsia" w:hAnsiTheme="minorEastAsia" w:eastAsiaTheme="minorEastAsia" w:cstheme="minorEastAsia"/>
          <w:color w:val="000000"/>
          <w:sz w:val="32"/>
          <w:szCs w:val="32"/>
          <w:highlight w:val="none"/>
          <w:lang w:val="en-US" w:eastAsia="zh-CN"/>
        </w:rPr>
        <w:t>关于做好202</w:t>
      </w:r>
      <w:r>
        <w:rPr>
          <w:rFonts w:hint="eastAsia" w:asciiTheme="minorEastAsia" w:hAnsiTheme="minorEastAsia" w:cstheme="minorEastAsia"/>
          <w:color w:val="000000"/>
          <w:sz w:val="32"/>
          <w:szCs w:val="32"/>
          <w:highlight w:val="none"/>
          <w:lang w:val="en-US" w:eastAsia="zh-CN"/>
        </w:rPr>
        <w:t>1</w:t>
      </w:r>
      <w:r>
        <w:rPr>
          <w:rFonts w:hint="eastAsia" w:asciiTheme="minorEastAsia" w:hAnsiTheme="minorEastAsia" w:eastAsiaTheme="minorEastAsia" w:cstheme="minorEastAsia"/>
          <w:color w:val="000000"/>
          <w:sz w:val="32"/>
          <w:szCs w:val="32"/>
          <w:highlight w:val="none"/>
          <w:lang w:val="en-US" w:eastAsia="zh-CN"/>
        </w:rPr>
        <w:t>年度县城乡居民社会养老保险管理站社保基金专项绩效评价工作的通知</w:t>
      </w:r>
      <w:r>
        <w:rPr>
          <w:rFonts w:hint="eastAsia" w:asciiTheme="minorEastAsia" w:hAnsiTheme="minorEastAsia" w:eastAsiaTheme="minorEastAsia" w:cstheme="minorEastAsia"/>
          <w:color w:val="000000"/>
          <w:sz w:val="32"/>
          <w:szCs w:val="32"/>
          <w:highlight w:val="none"/>
          <w:lang w:eastAsia="zh-CN"/>
        </w:rPr>
        <w:t>》</w:t>
      </w:r>
      <w:r>
        <w:rPr>
          <w:rFonts w:hint="eastAsia" w:asciiTheme="minorEastAsia" w:hAnsiTheme="minorEastAsia" w:eastAsiaTheme="minorEastAsia" w:cstheme="minorEastAsia"/>
          <w:color w:val="000000"/>
          <w:sz w:val="32"/>
          <w:szCs w:val="32"/>
          <w:highlight w:val="none"/>
          <w:lang w:val="en-US" w:eastAsia="zh-CN"/>
        </w:rPr>
        <w:t>城财绩[202</w:t>
      </w:r>
      <w:r>
        <w:rPr>
          <w:rFonts w:hint="eastAsia" w:asciiTheme="minorEastAsia" w:hAnsiTheme="minorEastAsia" w:cstheme="minorEastAsia"/>
          <w:color w:val="000000"/>
          <w:sz w:val="32"/>
          <w:szCs w:val="32"/>
          <w:highlight w:val="none"/>
          <w:lang w:val="en-US" w:eastAsia="zh-CN"/>
        </w:rPr>
        <w:t>2</w:t>
      </w:r>
      <w:r>
        <w:rPr>
          <w:rFonts w:hint="eastAsia" w:asciiTheme="minorEastAsia" w:hAnsiTheme="minorEastAsia" w:eastAsiaTheme="minorEastAsia" w:cstheme="minorEastAsia"/>
          <w:color w:val="000000"/>
          <w:sz w:val="32"/>
          <w:szCs w:val="32"/>
          <w:highlight w:val="none"/>
          <w:lang w:val="en-US" w:eastAsia="zh-CN"/>
        </w:rPr>
        <w:t>]</w:t>
      </w:r>
      <w:r>
        <w:rPr>
          <w:rFonts w:hint="eastAsia" w:asciiTheme="minorEastAsia" w:hAnsiTheme="minorEastAsia" w:cstheme="minorEastAsia"/>
          <w:color w:val="000000"/>
          <w:sz w:val="32"/>
          <w:szCs w:val="32"/>
          <w:highlight w:val="none"/>
          <w:lang w:val="en-US" w:eastAsia="zh-CN"/>
        </w:rPr>
        <w:t>17</w:t>
      </w:r>
      <w:r>
        <w:rPr>
          <w:rFonts w:hint="eastAsia" w:asciiTheme="minorEastAsia" w:hAnsiTheme="minorEastAsia" w:eastAsiaTheme="minorEastAsia" w:cstheme="minorEastAsia"/>
          <w:color w:val="000000"/>
          <w:sz w:val="32"/>
          <w:szCs w:val="32"/>
          <w:highlight w:val="none"/>
          <w:lang w:val="en-US" w:eastAsia="zh-CN"/>
        </w:rPr>
        <w:t>号文件的要求，</w:t>
      </w:r>
      <w:r>
        <w:rPr>
          <w:rFonts w:hint="eastAsia" w:asciiTheme="minorEastAsia" w:hAnsiTheme="minorEastAsia" w:eastAsiaTheme="minorEastAsia" w:cstheme="minorEastAsia"/>
          <w:color w:val="000000"/>
          <w:sz w:val="32"/>
          <w:szCs w:val="32"/>
          <w:highlight w:val="none"/>
        </w:rPr>
        <w:t>我所遵循“科学性、规范性、客观性和公正性”的原则，对</w:t>
      </w:r>
      <w:r>
        <w:rPr>
          <w:rFonts w:hint="eastAsia" w:asciiTheme="minorEastAsia" w:hAnsiTheme="minorEastAsia" w:cstheme="minorEastAsia"/>
          <w:color w:val="000000"/>
          <w:sz w:val="32"/>
          <w:szCs w:val="32"/>
          <w:highlight w:val="none"/>
          <w:lang w:val="en-US" w:eastAsia="zh-CN"/>
        </w:rPr>
        <w:t>城步苗族自治县</w:t>
      </w:r>
      <w:r>
        <w:rPr>
          <w:rFonts w:hint="eastAsia" w:asciiTheme="minorEastAsia" w:hAnsiTheme="minorEastAsia" w:eastAsiaTheme="minorEastAsia" w:cstheme="minorEastAsia"/>
          <w:color w:val="000000"/>
          <w:sz w:val="32"/>
          <w:szCs w:val="32"/>
          <w:highlight w:val="none"/>
          <w:lang w:val="en-US" w:eastAsia="zh-CN"/>
        </w:rPr>
        <w:t>城乡居民社会养老保险管理站社保基金专项</w:t>
      </w:r>
      <w:r>
        <w:rPr>
          <w:rFonts w:hint="eastAsia" w:asciiTheme="minorEastAsia" w:hAnsiTheme="minorEastAsia" w:eastAsiaTheme="minorEastAsia" w:cstheme="minorEastAsia"/>
          <w:color w:val="000000"/>
          <w:sz w:val="32"/>
          <w:szCs w:val="32"/>
          <w:highlight w:val="none"/>
        </w:rPr>
        <w:t>绩效进行现场评价。我们将评价工作分定量评价和定性评价两个</w:t>
      </w:r>
      <w:r>
        <w:rPr>
          <w:rFonts w:hint="eastAsia" w:asciiTheme="minorEastAsia" w:hAnsiTheme="minorEastAsia" w:cstheme="minorEastAsia"/>
          <w:color w:val="000000"/>
          <w:sz w:val="32"/>
          <w:szCs w:val="32"/>
          <w:highlight w:val="none"/>
          <w:lang w:val="en-US" w:eastAsia="zh-CN"/>
        </w:rPr>
        <w:t>方法</w:t>
      </w:r>
      <w:r>
        <w:rPr>
          <w:rFonts w:hint="eastAsia" w:asciiTheme="minorEastAsia" w:hAnsiTheme="minorEastAsia" w:eastAsiaTheme="minorEastAsia" w:cstheme="minorEastAsia"/>
          <w:color w:val="000000"/>
          <w:sz w:val="32"/>
          <w:szCs w:val="32"/>
          <w:highlight w:val="none"/>
        </w:rPr>
        <w:t>：定量评价以</w:t>
      </w:r>
      <w:r>
        <w:rPr>
          <w:rFonts w:hint="eastAsia" w:asciiTheme="minorEastAsia" w:hAnsiTheme="minorEastAsia" w:eastAsiaTheme="minorEastAsia" w:cstheme="minorEastAsia"/>
          <w:color w:val="000000"/>
          <w:sz w:val="32"/>
          <w:szCs w:val="32"/>
          <w:highlight w:val="none"/>
          <w:lang w:val="en-US" w:eastAsia="zh-CN"/>
        </w:rPr>
        <w:t>城步苗族自治</w:t>
      </w:r>
      <w:r>
        <w:rPr>
          <w:rFonts w:hint="eastAsia" w:asciiTheme="minorEastAsia" w:hAnsiTheme="minorEastAsia" w:cstheme="minorEastAsia"/>
          <w:color w:val="000000"/>
          <w:sz w:val="32"/>
          <w:szCs w:val="32"/>
          <w:highlight w:val="none"/>
          <w:lang w:val="en-US" w:eastAsia="zh-CN"/>
        </w:rPr>
        <w:t>县</w:t>
      </w:r>
      <w:r>
        <w:rPr>
          <w:rFonts w:hint="eastAsia" w:asciiTheme="minorEastAsia" w:hAnsiTheme="minorEastAsia" w:eastAsiaTheme="minorEastAsia" w:cstheme="minorEastAsia"/>
          <w:color w:val="000000"/>
          <w:sz w:val="32"/>
          <w:szCs w:val="32"/>
          <w:highlight w:val="none"/>
          <w:lang w:val="en-US" w:eastAsia="zh-CN"/>
        </w:rPr>
        <w:t>城乡居民社会养老保险管理站社保基金专项</w:t>
      </w:r>
      <w:r>
        <w:rPr>
          <w:rFonts w:hint="eastAsia" w:asciiTheme="minorEastAsia" w:hAnsiTheme="minorEastAsia" w:eastAsiaTheme="minorEastAsia" w:cstheme="minorEastAsia"/>
          <w:color w:val="000000"/>
          <w:sz w:val="32"/>
          <w:szCs w:val="32"/>
          <w:highlight w:val="none"/>
        </w:rPr>
        <w:t>提供的相关资料为基础，经过认真审查和核对，测出定量评价结果；定性评价由工作组调查问卷、听取</w:t>
      </w:r>
      <w:r>
        <w:rPr>
          <w:rFonts w:hint="eastAsia" w:asciiTheme="minorEastAsia" w:hAnsiTheme="minorEastAsia" w:eastAsiaTheme="minorEastAsia" w:cstheme="minorEastAsia"/>
          <w:color w:val="000000"/>
          <w:sz w:val="32"/>
          <w:szCs w:val="32"/>
          <w:highlight w:val="none"/>
          <w:lang w:val="en-US" w:eastAsia="zh-CN"/>
        </w:rPr>
        <w:t>城步苗族自治县城乡居民社会养老保险管理站社保基金专项</w:t>
      </w:r>
      <w:r>
        <w:rPr>
          <w:rFonts w:hint="eastAsia" w:asciiTheme="minorEastAsia" w:hAnsiTheme="minorEastAsia" w:eastAsiaTheme="minorEastAsia" w:cstheme="minorEastAsia"/>
          <w:color w:val="000000"/>
          <w:sz w:val="32"/>
          <w:szCs w:val="32"/>
          <w:highlight w:val="none"/>
        </w:rPr>
        <w:t>领导及相关人员的情况介绍及现场考察提问，经量化分析得出定性评价结果。我们综合定量和定性评价结果，形成综合评价结论。</w:t>
      </w:r>
    </w:p>
    <w:p>
      <w:pPr>
        <w:keepNext w:val="0"/>
        <w:keepLines w:val="0"/>
        <w:pageBreakBefore w:val="0"/>
        <w:kinsoku/>
        <w:wordWrap/>
        <w:overflowPunct/>
        <w:topLinePunct w:val="0"/>
        <w:autoSpaceDE/>
        <w:autoSpaceDN/>
        <w:bidi w:val="0"/>
        <w:adjustRightInd/>
        <w:snapToGrid/>
        <w:spacing w:after="180" w:line="360" w:lineRule="auto"/>
        <w:ind w:firstLine="640" w:firstLineChars="200"/>
        <w:jc w:val="both"/>
        <w:textAlignment w:val="auto"/>
        <w:rPr>
          <w:rFonts w:hint="eastAsia" w:asciiTheme="minorEastAsia" w:hAnsiTheme="minorEastAsia" w:cstheme="minorEastAsia"/>
          <w:color w:val="000000"/>
          <w:sz w:val="32"/>
          <w:szCs w:val="32"/>
          <w:highlight w:val="none"/>
          <w:lang w:val="en-US" w:eastAsia="zh-CN"/>
        </w:rPr>
      </w:pPr>
      <w:r>
        <w:rPr>
          <w:rFonts w:hint="eastAsia" w:asciiTheme="minorEastAsia" w:hAnsiTheme="minorEastAsia" w:eastAsiaTheme="minorEastAsia" w:cstheme="minorEastAsia"/>
          <w:color w:val="000000"/>
          <w:sz w:val="32"/>
          <w:szCs w:val="32"/>
          <w:highlight w:val="none"/>
        </w:rPr>
        <w:t>现将</w:t>
      </w:r>
      <w:r>
        <w:rPr>
          <w:rFonts w:hint="eastAsia" w:asciiTheme="minorEastAsia" w:hAnsiTheme="minorEastAsia" w:cstheme="minorEastAsia"/>
          <w:color w:val="000000"/>
          <w:sz w:val="32"/>
          <w:szCs w:val="32"/>
          <w:highlight w:val="none"/>
          <w:lang w:val="en-US" w:eastAsia="zh-CN"/>
        </w:rPr>
        <w:t>2021年城乡居民养老保险基金绩效自评情况报告如下：</w:t>
      </w:r>
    </w:p>
    <w:p>
      <w:pPr>
        <w:pStyle w:val="7"/>
        <w:keepNext w:val="0"/>
        <w:keepLines w:val="0"/>
        <w:pageBreakBefore w:val="0"/>
        <w:kinsoku/>
        <w:wordWrap/>
        <w:overflowPunct/>
        <w:topLinePunct w:val="0"/>
        <w:autoSpaceDE/>
        <w:autoSpaceDN/>
        <w:bidi w:val="0"/>
        <w:adjustRightInd/>
        <w:snapToGrid/>
        <w:spacing w:line="360" w:lineRule="auto"/>
        <w:ind w:left="0" w:leftChars="0" w:firstLine="643" w:firstLineChars="200"/>
        <w:textAlignment w:val="auto"/>
        <w:rPr>
          <w:rFonts w:hint="eastAsia" w:asciiTheme="minorEastAsia" w:hAnsiTheme="minorEastAsia" w:eastAsiaTheme="minorEastAsia" w:cstheme="minorEastAsia"/>
          <w:b/>
          <w:bCs/>
          <w:color w:val="000000"/>
          <w:sz w:val="32"/>
          <w:szCs w:val="32"/>
          <w:highlight w:val="none"/>
          <w:lang w:val="en-US" w:eastAsia="zh-CN"/>
        </w:rPr>
      </w:pPr>
      <w:r>
        <w:rPr>
          <w:rFonts w:hint="eastAsia" w:asciiTheme="minorEastAsia" w:hAnsiTheme="minorEastAsia" w:eastAsiaTheme="minorEastAsia" w:cstheme="minorEastAsia"/>
          <w:b/>
          <w:bCs/>
          <w:color w:val="000000"/>
          <w:sz w:val="32"/>
          <w:szCs w:val="32"/>
          <w:highlight w:val="none"/>
          <w:lang w:eastAsia="zh-CN"/>
        </w:rPr>
        <w:t>一、</w:t>
      </w:r>
      <w:r>
        <w:rPr>
          <w:rFonts w:hint="eastAsia" w:asciiTheme="minorEastAsia" w:hAnsiTheme="minorEastAsia" w:eastAsiaTheme="minorEastAsia" w:cstheme="minorEastAsia"/>
          <w:b/>
          <w:bCs/>
          <w:color w:val="000000"/>
          <w:sz w:val="32"/>
          <w:szCs w:val="32"/>
          <w:highlight w:val="none"/>
          <w:lang w:val="en-US" w:eastAsia="zh-CN"/>
        </w:rPr>
        <w:t>2021年城乡居民养老保险基金预算概况</w:t>
      </w:r>
    </w:p>
    <w:p>
      <w:pPr>
        <w:pStyle w:val="7"/>
        <w:keepNext w:val="0"/>
        <w:keepLines w:val="0"/>
        <w:pageBreakBefore w:val="0"/>
        <w:kinsoku/>
        <w:wordWrap/>
        <w:overflowPunct/>
        <w:topLinePunct w:val="0"/>
        <w:autoSpaceDE/>
        <w:autoSpaceDN/>
        <w:bidi w:val="0"/>
        <w:adjustRightInd/>
        <w:snapToGrid/>
        <w:spacing w:line="360" w:lineRule="auto"/>
        <w:ind w:left="0" w:leftChars="0" w:firstLine="320" w:firstLineChars="100"/>
        <w:textAlignment w:val="auto"/>
        <w:rPr>
          <w:rFonts w:hint="eastAsia" w:asciiTheme="minorEastAsia" w:hAnsiTheme="minorEastAsia" w:cstheme="minorEastAsia"/>
          <w:b w:val="0"/>
          <w:bCs w:val="0"/>
          <w:color w:val="000000"/>
          <w:sz w:val="32"/>
          <w:szCs w:val="32"/>
          <w:highlight w:val="none"/>
          <w:lang w:val="en-US" w:eastAsia="zh-CN"/>
        </w:rPr>
      </w:pPr>
      <w:r>
        <w:rPr>
          <w:rFonts w:hint="eastAsia" w:asciiTheme="minorEastAsia" w:hAnsiTheme="minorEastAsia" w:cstheme="minorEastAsia"/>
          <w:b w:val="0"/>
          <w:bCs w:val="0"/>
          <w:color w:val="000000"/>
          <w:sz w:val="32"/>
          <w:szCs w:val="32"/>
          <w:highlight w:val="none"/>
          <w:lang w:val="en-US" w:eastAsia="zh-CN"/>
        </w:rPr>
        <w:t>（一）2021年城乡居民养老保险基金预算情况</w:t>
      </w:r>
    </w:p>
    <w:p>
      <w:pPr>
        <w:pStyle w:val="7"/>
        <w:keepNext w:val="0"/>
        <w:keepLines w:val="0"/>
        <w:pageBreakBefore w:val="0"/>
        <w:kinsoku/>
        <w:wordWrap/>
        <w:overflowPunct/>
        <w:topLinePunct w:val="0"/>
        <w:autoSpaceDE/>
        <w:autoSpaceDN/>
        <w:bidi w:val="0"/>
        <w:adjustRightInd/>
        <w:snapToGrid/>
        <w:spacing w:line="360" w:lineRule="auto"/>
        <w:ind w:left="0" w:leftChars="0" w:firstLine="640" w:firstLineChars="200"/>
        <w:textAlignment w:val="auto"/>
        <w:rPr>
          <w:rFonts w:hint="default" w:asciiTheme="minorEastAsia" w:hAnsiTheme="minorEastAsia" w:eastAsiaTheme="minorEastAsia" w:cstheme="minorEastAsia"/>
          <w:color w:val="000000"/>
          <w:sz w:val="32"/>
          <w:szCs w:val="32"/>
          <w:highlight w:val="none"/>
          <w:lang w:val="en-US" w:eastAsia="zh-CN"/>
        </w:rPr>
      </w:pPr>
      <w:r>
        <w:rPr>
          <w:rFonts w:hint="eastAsia" w:asciiTheme="minorEastAsia" w:hAnsiTheme="minorEastAsia" w:eastAsiaTheme="minorEastAsia" w:cstheme="minorEastAsia"/>
          <w:color w:val="000000"/>
          <w:sz w:val="32"/>
          <w:szCs w:val="32"/>
          <w:highlight w:val="none"/>
          <w:lang w:val="en-US" w:eastAsia="zh-CN"/>
        </w:rPr>
        <w:t>2021年城乡居民养老保险基金预算收入7252.67</w:t>
      </w:r>
      <w:r>
        <w:rPr>
          <w:rFonts w:hint="eastAsia" w:asciiTheme="minorEastAsia" w:hAnsiTheme="minorEastAsia" w:eastAsiaTheme="minorEastAsia" w:cstheme="minorEastAsia"/>
          <w:color w:val="000000"/>
          <w:sz w:val="32"/>
          <w:szCs w:val="32"/>
          <w:highlight w:val="none"/>
        </w:rPr>
        <w:t>万元</w:t>
      </w:r>
      <w:r>
        <w:rPr>
          <w:rFonts w:hint="eastAsia" w:asciiTheme="minorEastAsia" w:hAnsiTheme="minorEastAsia" w:eastAsiaTheme="minorEastAsia" w:cstheme="minorEastAsia"/>
          <w:color w:val="000000"/>
          <w:sz w:val="32"/>
          <w:szCs w:val="32"/>
          <w:highlight w:val="none"/>
          <w:lang w:eastAsia="zh-CN"/>
        </w:rPr>
        <w:t>，其中个人缴费收入</w:t>
      </w:r>
      <w:r>
        <w:rPr>
          <w:rFonts w:hint="eastAsia" w:asciiTheme="minorEastAsia" w:hAnsiTheme="minorEastAsia" w:eastAsiaTheme="minorEastAsia" w:cstheme="minorEastAsia"/>
          <w:color w:val="000000"/>
          <w:sz w:val="32"/>
          <w:szCs w:val="32"/>
          <w:highlight w:val="none"/>
          <w:lang w:val="en-US" w:eastAsia="zh-CN"/>
        </w:rPr>
        <w:t>2133.37万元，财政补贴收入5119.3万元。</w:t>
      </w: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643" w:firstLineChars="20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r>
        <w:rPr>
          <w:rFonts w:hint="eastAsia" w:asciiTheme="minorEastAsia" w:hAnsiTheme="minorEastAsia" w:cstheme="minorEastAsia"/>
          <w:b/>
          <w:bCs/>
          <w:color w:val="000000"/>
          <w:kern w:val="0"/>
          <w:sz w:val="32"/>
          <w:szCs w:val="32"/>
          <w:highlight w:val="none"/>
          <w:lang w:val="en-US" w:eastAsia="zh-CN"/>
        </w:rPr>
        <w:t>（二）</w:t>
      </w:r>
      <w:r>
        <w:rPr>
          <w:rFonts w:hint="eastAsia" w:asciiTheme="minorEastAsia" w:hAnsiTheme="minorEastAsia" w:eastAsiaTheme="minorEastAsia" w:cstheme="minorEastAsia"/>
          <w:b/>
          <w:bCs/>
          <w:color w:val="000000"/>
          <w:kern w:val="0"/>
          <w:sz w:val="32"/>
          <w:szCs w:val="32"/>
          <w:highlight w:val="none"/>
          <w:lang w:val="en-US" w:eastAsia="zh-CN"/>
        </w:rPr>
        <w:t>项目基本情况</w:t>
      </w: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420" w:leftChars="0" w:right="0" w:rightChars="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firstLine="640" w:firstLineChars="20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城乡居民基本养老保险</w:t>
      </w:r>
      <w:r>
        <w:rPr>
          <w:rFonts w:hint="eastAsia" w:asciiTheme="minorEastAsia" w:hAnsiTheme="minorEastAsia" w:eastAsiaTheme="minorEastAsia" w:cstheme="minorEastAsia"/>
          <w:color w:val="000000"/>
          <w:kern w:val="0"/>
          <w:sz w:val="32"/>
          <w:szCs w:val="32"/>
          <w:highlight w:val="none"/>
          <w:lang w:eastAsia="zh-CN"/>
        </w:rPr>
        <w:t>县</w:t>
      </w:r>
      <w:r>
        <w:rPr>
          <w:rFonts w:hint="eastAsia" w:asciiTheme="minorEastAsia" w:hAnsiTheme="minorEastAsia" w:eastAsiaTheme="minorEastAsia" w:cstheme="minorEastAsia"/>
          <w:color w:val="000000"/>
          <w:kern w:val="0"/>
          <w:sz w:val="32"/>
          <w:szCs w:val="32"/>
          <w:highlight w:val="none"/>
        </w:rPr>
        <w:t>级财政补助资金项目由</w:t>
      </w:r>
      <w:r>
        <w:rPr>
          <w:rFonts w:hint="eastAsia" w:asciiTheme="minorEastAsia" w:hAnsiTheme="minorEastAsia" w:eastAsiaTheme="minorEastAsia" w:cstheme="minorEastAsia"/>
          <w:color w:val="000000"/>
          <w:kern w:val="0"/>
          <w:sz w:val="32"/>
          <w:szCs w:val="32"/>
          <w:highlight w:val="none"/>
          <w:lang w:eastAsia="zh-CN"/>
        </w:rPr>
        <w:t>城步苗族自治县</w:t>
      </w:r>
      <w:r>
        <w:rPr>
          <w:rFonts w:hint="eastAsia" w:asciiTheme="minorEastAsia" w:hAnsiTheme="minorEastAsia" w:eastAsiaTheme="minorEastAsia" w:cstheme="minorEastAsia"/>
          <w:color w:val="000000"/>
          <w:kern w:val="0"/>
          <w:sz w:val="32"/>
          <w:szCs w:val="32"/>
          <w:highlight w:val="none"/>
        </w:rPr>
        <w:t>人民政府设立，本级财政部门会同人力资源和社会保障局部门管理，专项用于基本养老金补贴及缴费补贴。</w:t>
      </w:r>
      <w:r>
        <w:rPr>
          <w:rFonts w:hint="eastAsia" w:asciiTheme="minorEastAsia" w:hAnsiTheme="minorEastAsia" w:eastAsiaTheme="minorEastAsia" w:cstheme="minorEastAsia"/>
          <w:color w:val="000000"/>
          <w:kern w:val="0"/>
          <w:sz w:val="32"/>
          <w:szCs w:val="32"/>
          <w:highlight w:val="none"/>
          <w:lang w:eastAsia="zh-CN"/>
        </w:rPr>
        <w:t>县</w:t>
      </w:r>
      <w:r>
        <w:rPr>
          <w:rFonts w:hint="eastAsia" w:asciiTheme="minorEastAsia" w:hAnsiTheme="minorEastAsia" w:eastAsiaTheme="minorEastAsia" w:cstheme="minorEastAsia"/>
          <w:color w:val="000000"/>
          <w:kern w:val="0"/>
          <w:sz w:val="32"/>
          <w:szCs w:val="32"/>
          <w:highlight w:val="none"/>
        </w:rPr>
        <w:t>级财政对符合领取城乡居民养老保险待遇条件的参保人支付部分基础养老金补贴，同时对参保缴费人员给予部分缴费补贴。资金来源主要是财政预算安排，根据当地城乡居保的工作需要，直接由当地财政向市级申请后，再转移拨付至</w:t>
      </w:r>
      <w:r>
        <w:rPr>
          <w:rFonts w:hint="eastAsia" w:asciiTheme="minorEastAsia" w:hAnsiTheme="minorEastAsia" w:eastAsiaTheme="minorEastAsia" w:cstheme="minorEastAsia"/>
          <w:color w:val="000000"/>
          <w:kern w:val="0"/>
          <w:sz w:val="32"/>
          <w:szCs w:val="32"/>
          <w:highlight w:val="none"/>
          <w:lang w:eastAsia="zh-CN"/>
        </w:rPr>
        <w:t>城步县</w:t>
      </w:r>
      <w:r>
        <w:rPr>
          <w:rFonts w:hint="eastAsia" w:asciiTheme="minorEastAsia" w:hAnsiTheme="minorEastAsia" w:eastAsiaTheme="minorEastAsia" w:cstheme="minorEastAsia"/>
          <w:color w:val="000000"/>
          <w:kern w:val="0"/>
          <w:sz w:val="32"/>
          <w:szCs w:val="32"/>
          <w:highlight w:val="none"/>
        </w:rPr>
        <w:t>城乡居保经办机构。</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r>
        <w:rPr>
          <w:rFonts w:hint="eastAsia" w:asciiTheme="minorEastAsia" w:hAnsiTheme="minorEastAsia" w:eastAsiaTheme="minorEastAsia" w:cstheme="minorEastAsia"/>
          <w:b/>
          <w:bCs/>
          <w:color w:val="000000"/>
          <w:kern w:val="0"/>
          <w:sz w:val="32"/>
          <w:szCs w:val="32"/>
          <w:highlight w:val="none"/>
          <w:lang w:val="en-US" w:eastAsia="zh-CN"/>
        </w:rPr>
        <w:t>二、绩效评价工作情况</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我局根据《</w:t>
      </w:r>
      <w:r>
        <w:rPr>
          <w:rFonts w:hint="eastAsia" w:asciiTheme="minorEastAsia" w:hAnsiTheme="minorEastAsia" w:eastAsiaTheme="minorEastAsia" w:cstheme="minorEastAsia"/>
          <w:color w:val="000000"/>
          <w:kern w:val="0"/>
          <w:sz w:val="32"/>
          <w:szCs w:val="32"/>
          <w:highlight w:val="none"/>
          <w:lang w:val="en-US" w:eastAsia="zh-CN"/>
        </w:rPr>
        <w:t>做好2021年度县城乡居民社会养老保险管理站社保基金专项绩效评价工作的通知</w:t>
      </w:r>
      <w:r>
        <w:rPr>
          <w:rFonts w:hint="eastAsia" w:asciiTheme="minorEastAsia" w:hAnsiTheme="minorEastAsia" w:eastAsiaTheme="minorEastAsia" w:cstheme="minorEastAsia"/>
          <w:color w:val="000000"/>
          <w:kern w:val="0"/>
          <w:sz w:val="32"/>
          <w:szCs w:val="32"/>
          <w:highlight w:val="none"/>
        </w:rPr>
        <w:t>》精神，组织项目主管</w:t>
      </w:r>
      <w:r>
        <w:rPr>
          <w:rFonts w:hint="eastAsia" w:asciiTheme="minorEastAsia" w:hAnsiTheme="minorEastAsia" w:cstheme="minorEastAsia"/>
          <w:color w:val="000000"/>
          <w:kern w:val="0"/>
          <w:sz w:val="32"/>
          <w:szCs w:val="32"/>
          <w:highlight w:val="none"/>
          <w:lang w:val="en-US" w:eastAsia="zh-CN"/>
        </w:rPr>
        <w:t>股</w:t>
      </w:r>
      <w:r>
        <w:rPr>
          <w:rFonts w:hint="eastAsia" w:asciiTheme="minorEastAsia" w:hAnsiTheme="minorEastAsia" w:eastAsiaTheme="minorEastAsia" w:cstheme="minorEastAsia"/>
          <w:color w:val="000000"/>
          <w:kern w:val="0"/>
          <w:sz w:val="32"/>
          <w:szCs w:val="32"/>
          <w:highlight w:val="none"/>
        </w:rPr>
        <w:t>室重点围绕项目绩效目标的设定及完成情况、项目资金使用管理情况、项目资金绩效情况和项目资金政策环境适应情况等内容开展绩效自评，确保自评工作客观真实。</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r>
        <w:rPr>
          <w:rFonts w:hint="eastAsia" w:asciiTheme="minorEastAsia" w:hAnsiTheme="minorEastAsia" w:eastAsiaTheme="minorEastAsia" w:cstheme="minorEastAsia"/>
          <w:b/>
          <w:bCs/>
          <w:color w:val="000000"/>
          <w:kern w:val="0"/>
          <w:sz w:val="32"/>
          <w:szCs w:val="32"/>
          <w:highlight w:val="none"/>
          <w:lang w:val="en-US" w:eastAsia="zh-CN"/>
        </w:rPr>
        <w:t>三、绩效目标实现情况分析</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微软雅黑" w:hAnsi="微软雅黑" w:eastAsia="微软雅黑" w:cs="微软雅黑"/>
          <w:sz w:val="32"/>
          <w:szCs w:val="32"/>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微软雅黑" w:hAnsi="微软雅黑" w:eastAsia="微软雅黑" w:cs="微软雅黑"/>
          <w:sz w:val="32"/>
          <w:szCs w:val="32"/>
        </w:rPr>
        <w:t>（一）</w:t>
      </w:r>
      <w:r>
        <w:rPr>
          <w:rFonts w:hint="eastAsia" w:asciiTheme="minorEastAsia" w:hAnsiTheme="minorEastAsia" w:eastAsiaTheme="minorEastAsia" w:cstheme="minorEastAsia"/>
          <w:color w:val="000000"/>
          <w:kern w:val="0"/>
          <w:sz w:val="32"/>
          <w:szCs w:val="32"/>
          <w:highlight w:val="none"/>
        </w:rPr>
        <w:t>项目资金使用及管理情况</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微软雅黑" w:hAnsi="微软雅黑" w:eastAsia="微软雅黑" w:cs="微软雅黑"/>
          <w:sz w:val="32"/>
          <w:szCs w:val="32"/>
        </w:rPr>
      </w:pPr>
    </w:p>
    <w:p>
      <w:pPr>
        <w:pStyle w:val="6"/>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项目资金安排落实、总投入等情况分析，项目资金实际使用等情况分析。</w:t>
      </w: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420" w:leftChars="0" w:right="0" w:rightChars="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640" w:firstLineChars="20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2021年</w:t>
      </w:r>
      <w:r>
        <w:rPr>
          <w:rFonts w:hint="eastAsia" w:asciiTheme="minorEastAsia" w:hAnsiTheme="minorEastAsia" w:eastAsiaTheme="minorEastAsia" w:cstheme="minorEastAsia"/>
          <w:color w:val="000000"/>
          <w:kern w:val="0"/>
          <w:sz w:val="32"/>
          <w:szCs w:val="32"/>
          <w:highlight w:val="none"/>
          <w:lang w:eastAsia="zh-CN"/>
        </w:rPr>
        <w:t>县</w:t>
      </w:r>
      <w:r>
        <w:rPr>
          <w:rFonts w:hint="eastAsia" w:asciiTheme="minorEastAsia" w:hAnsiTheme="minorEastAsia" w:eastAsiaTheme="minorEastAsia" w:cstheme="minorEastAsia"/>
          <w:color w:val="000000"/>
          <w:kern w:val="0"/>
          <w:sz w:val="32"/>
          <w:szCs w:val="32"/>
          <w:highlight w:val="none"/>
        </w:rPr>
        <w:t>财政预算安排城乡居民养老保险</w:t>
      </w:r>
      <w:r>
        <w:rPr>
          <w:rFonts w:hint="eastAsia" w:asciiTheme="minorEastAsia" w:hAnsiTheme="minorEastAsia" w:eastAsiaTheme="minorEastAsia" w:cstheme="minorEastAsia"/>
          <w:color w:val="000000"/>
          <w:kern w:val="0"/>
          <w:sz w:val="32"/>
          <w:szCs w:val="32"/>
          <w:highlight w:val="none"/>
          <w:lang w:eastAsia="zh-CN"/>
        </w:rPr>
        <w:t>财政补贴收入</w:t>
      </w:r>
      <w:r>
        <w:rPr>
          <w:rFonts w:hint="eastAsia" w:asciiTheme="minorEastAsia" w:hAnsiTheme="minorEastAsia" w:eastAsiaTheme="minorEastAsia" w:cstheme="minorEastAsia"/>
          <w:color w:val="000000"/>
          <w:kern w:val="0"/>
          <w:sz w:val="32"/>
          <w:szCs w:val="32"/>
          <w:highlight w:val="none"/>
          <w:lang w:val="en-US" w:eastAsia="zh-CN"/>
        </w:rPr>
        <w:t>5119.3</w:t>
      </w:r>
      <w:r>
        <w:rPr>
          <w:rFonts w:hint="eastAsia" w:asciiTheme="minorEastAsia" w:hAnsiTheme="minorEastAsia" w:eastAsiaTheme="minorEastAsia" w:cstheme="minorEastAsia"/>
          <w:color w:val="000000"/>
          <w:kern w:val="0"/>
          <w:sz w:val="32"/>
          <w:szCs w:val="32"/>
          <w:highlight w:val="none"/>
        </w:rPr>
        <w:t>万元，全年执行数为</w:t>
      </w:r>
      <w:r>
        <w:rPr>
          <w:rFonts w:hint="eastAsia" w:asciiTheme="minorEastAsia" w:hAnsiTheme="minorEastAsia" w:eastAsiaTheme="minorEastAsia" w:cstheme="minorEastAsia"/>
          <w:color w:val="000000"/>
          <w:kern w:val="0"/>
          <w:sz w:val="32"/>
          <w:szCs w:val="32"/>
          <w:highlight w:val="none"/>
          <w:lang w:val="en-US" w:eastAsia="zh-CN"/>
        </w:rPr>
        <w:t>5119.37</w:t>
      </w:r>
      <w:r>
        <w:rPr>
          <w:rFonts w:hint="eastAsia" w:asciiTheme="minorEastAsia" w:hAnsiTheme="minorEastAsia" w:eastAsiaTheme="minorEastAsia" w:cstheme="minorEastAsia"/>
          <w:color w:val="000000"/>
          <w:kern w:val="0"/>
          <w:sz w:val="32"/>
          <w:szCs w:val="32"/>
          <w:highlight w:val="none"/>
        </w:rPr>
        <w:t>万元，预算执行率100%</w:t>
      </w:r>
      <w:r>
        <w:rPr>
          <w:rFonts w:hint="eastAsia" w:asciiTheme="minorEastAsia" w:hAnsiTheme="minorEastAsia" w:eastAsiaTheme="minorEastAsia" w:cstheme="minorEastAsia"/>
          <w:color w:val="000000"/>
          <w:kern w:val="0"/>
          <w:sz w:val="32"/>
          <w:szCs w:val="32"/>
          <w:highlight w:val="none"/>
          <w:lang w:eastAsia="zh-CN"/>
        </w:rPr>
        <w:t>；</w:t>
      </w:r>
      <w:r>
        <w:rPr>
          <w:rFonts w:hint="eastAsia" w:asciiTheme="minorEastAsia" w:hAnsiTheme="minorEastAsia" w:eastAsiaTheme="minorEastAsia" w:cstheme="minorEastAsia"/>
          <w:color w:val="000000"/>
          <w:kern w:val="0"/>
          <w:sz w:val="32"/>
          <w:szCs w:val="32"/>
          <w:highlight w:val="none"/>
          <w:lang w:val="en-US" w:eastAsia="zh-CN"/>
        </w:rPr>
        <w:t>2021年城乡居民养老保险征缴2133.37万元，</w:t>
      </w:r>
      <w:r>
        <w:rPr>
          <w:rFonts w:hint="eastAsia" w:asciiTheme="minorEastAsia" w:hAnsiTheme="minorEastAsia" w:eastAsiaTheme="minorEastAsia" w:cstheme="minorEastAsia"/>
          <w:color w:val="000000"/>
          <w:kern w:val="0"/>
          <w:sz w:val="32"/>
          <w:szCs w:val="32"/>
          <w:highlight w:val="none"/>
        </w:rPr>
        <w:t>全年执行数为</w:t>
      </w:r>
      <w:r>
        <w:rPr>
          <w:rFonts w:hint="eastAsia" w:asciiTheme="minorEastAsia" w:hAnsiTheme="minorEastAsia" w:eastAsiaTheme="minorEastAsia" w:cstheme="minorEastAsia"/>
          <w:color w:val="000000"/>
          <w:kern w:val="0"/>
          <w:sz w:val="32"/>
          <w:szCs w:val="32"/>
          <w:highlight w:val="none"/>
          <w:lang w:val="en-US" w:eastAsia="zh-CN"/>
        </w:rPr>
        <w:t>2133.37</w:t>
      </w:r>
      <w:r>
        <w:rPr>
          <w:rFonts w:hint="eastAsia" w:asciiTheme="minorEastAsia" w:hAnsiTheme="minorEastAsia" w:eastAsiaTheme="minorEastAsia" w:cstheme="minorEastAsia"/>
          <w:color w:val="000000"/>
          <w:kern w:val="0"/>
          <w:sz w:val="32"/>
          <w:szCs w:val="32"/>
          <w:highlight w:val="none"/>
        </w:rPr>
        <w:t>万元，预算执行率100%。城乡居民基本养老保险待遇领取人员及缴费人员</w:t>
      </w:r>
      <w:r>
        <w:rPr>
          <w:rFonts w:hint="eastAsia" w:asciiTheme="minorEastAsia" w:hAnsiTheme="minorEastAsia" w:eastAsiaTheme="minorEastAsia" w:cstheme="minorEastAsia"/>
          <w:color w:val="000000"/>
          <w:kern w:val="0"/>
          <w:sz w:val="32"/>
          <w:szCs w:val="32"/>
          <w:highlight w:val="none"/>
          <w:lang w:eastAsia="zh-CN"/>
        </w:rPr>
        <w:t>县</w:t>
      </w:r>
      <w:r>
        <w:rPr>
          <w:rFonts w:hint="eastAsia" w:asciiTheme="minorEastAsia" w:hAnsiTheme="minorEastAsia" w:eastAsiaTheme="minorEastAsia" w:cstheme="minorEastAsia"/>
          <w:color w:val="000000"/>
          <w:kern w:val="0"/>
          <w:sz w:val="32"/>
          <w:szCs w:val="32"/>
          <w:highlight w:val="none"/>
        </w:rPr>
        <w:t>级财政已足额补贴到位。</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leftChars="0" w:firstLine="420" w:firstLine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项目组织情况分析。</w:t>
      </w:r>
      <w:r>
        <w:rPr>
          <w:rFonts w:hint="eastAsia" w:asciiTheme="minorEastAsia" w:hAnsiTheme="minorEastAsia" w:cstheme="minorEastAsia"/>
          <w:color w:val="000000"/>
          <w:kern w:val="0"/>
          <w:sz w:val="32"/>
          <w:szCs w:val="32"/>
          <w:highlight w:val="none"/>
          <w:lang w:val="en-US" w:eastAsia="zh-CN"/>
        </w:rPr>
        <w:t>年初</w:t>
      </w:r>
      <w:r>
        <w:rPr>
          <w:rFonts w:hint="eastAsia" w:asciiTheme="minorEastAsia" w:hAnsiTheme="minorEastAsia" w:eastAsiaTheme="minorEastAsia" w:cstheme="minorEastAsia"/>
          <w:color w:val="000000"/>
          <w:kern w:val="0"/>
          <w:sz w:val="32"/>
          <w:szCs w:val="32"/>
          <w:highlight w:val="none"/>
          <w:lang w:val="en-US" w:eastAsia="zh-CN"/>
        </w:rPr>
        <w:t>完成了2021年城乡居民养老保险基金预算，</w:t>
      </w:r>
      <w:r>
        <w:rPr>
          <w:rFonts w:hint="eastAsia" w:asciiTheme="minorEastAsia" w:hAnsiTheme="minorEastAsia" w:eastAsiaTheme="minorEastAsia" w:cstheme="minorEastAsia"/>
          <w:color w:val="000000"/>
          <w:kern w:val="0"/>
          <w:sz w:val="32"/>
          <w:szCs w:val="32"/>
          <w:highlight w:val="none"/>
        </w:rPr>
        <w:t>并由财政部门</w:t>
      </w:r>
      <w:r>
        <w:rPr>
          <w:rFonts w:hint="eastAsia" w:asciiTheme="minorEastAsia" w:hAnsiTheme="minorEastAsia" w:cstheme="minorEastAsia"/>
          <w:color w:val="000000"/>
          <w:kern w:val="0"/>
          <w:sz w:val="32"/>
          <w:szCs w:val="32"/>
          <w:highlight w:val="none"/>
          <w:lang w:val="en-US" w:eastAsia="zh-CN"/>
        </w:rPr>
        <w:t>按月及时</w:t>
      </w:r>
      <w:r>
        <w:rPr>
          <w:rFonts w:hint="eastAsia" w:asciiTheme="minorEastAsia" w:hAnsiTheme="minorEastAsia" w:eastAsiaTheme="minorEastAsia" w:cstheme="minorEastAsia"/>
          <w:color w:val="000000"/>
          <w:kern w:val="0"/>
          <w:sz w:val="32"/>
          <w:szCs w:val="32"/>
          <w:highlight w:val="none"/>
        </w:rPr>
        <w:t>足额拨付</w:t>
      </w:r>
      <w:r>
        <w:rPr>
          <w:rFonts w:hint="eastAsia" w:asciiTheme="minorEastAsia" w:hAnsiTheme="minorEastAsia" w:cstheme="minorEastAsia"/>
          <w:color w:val="000000"/>
          <w:kern w:val="0"/>
          <w:sz w:val="32"/>
          <w:szCs w:val="32"/>
          <w:highlight w:val="none"/>
          <w:lang w:val="en-US" w:eastAsia="zh-CN"/>
        </w:rPr>
        <w:t>社保</w:t>
      </w:r>
      <w:r>
        <w:rPr>
          <w:rFonts w:hint="eastAsia" w:asciiTheme="minorEastAsia" w:hAnsiTheme="minorEastAsia" w:eastAsiaTheme="minorEastAsia" w:cstheme="minorEastAsia"/>
          <w:color w:val="000000"/>
          <w:kern w:val="0"/>
          <w:sz w:val="32"/>
          <w:szCs w:val="32"/>
          <w:highlight w:val="none"/>
        </w:rPr>
        <w:t>预算基金</w:t>
      </w:r>
      <w:r>
        <w:rPr>
          <w:rFonts w:hint="eastAsia" w:asciiTheme="minorEastAsia" w:hAnsiTheme="minorEastAsia" w:cstheme="minorEastAsia"/>
          <w:color w:val="000000"/>
          <w:kern w:val="0"/>
          <w:sz w:val="32"/>
          <w:szCs w:val="32"/>
          <w:highlight w:val="none"/>
          <w:lang w:eastAsia="zh-CN"/>
        </w:rPr>
        <w:t>，</w:t>
      </w:r>
      <w:r>
        <w:rPr>
          <w:rFonts w:hint="eastAsia" w:asciiTheme="minorEastAsia" w:hAnsiTheme="minorEastAsia" w:cstheme="minorEastAsia"/>
          <w:color w:val="000000"/>
          <w:kern w:val="0"/>
          <w:sz w:val="32"/>
          <w:szCs w:val="32"/>
          <w:highlight w:val="none"/>
          <w:lang w:val="en-US" w:eastAsia="zh-CN"/>
        </w:rPr>
        <w:t>有力的保障了社保基金的及时足额发放。</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leftChars="0" w:firstLine="420" w:firstLine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项目管理情况分析。城乡居民养老保险经办机构严格落实基金财务和会计制度，规范社会保险基金财务管理行为；严格印章、票据管理；严格基金资金管理，实行“收支两条线”，专款专用；实现社银系统对接，全面取消社银人工报</w:t>
      </w: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盘；推进财务业务一体化，实时对接机制，确保账证相符、账账相符、账实相符，确保社保基金的安全有序运转。</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微软雅黑" w:hAnsi="微软雅黑" w:eastAsia="微软雅黑" w:cs="微软雅黑"/>
          <w:sz w:val="32"/>
          <w:szCs w:val="32"/>
        </w:rPr>
      </w:pP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420" w:leftChars="0" w:right="0" w:right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（二）总体绩效目标完成情况</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微软雅黑" w:hAnsi="微软雅黑" w:eastAsia="微软雅黑" w:cs="微软雅黑"/>
          <w:sz w:val="32"/>
          <w:szCs w:val="32"/>
        </w:rPr>
      </w:pPr>
    </w:p>
    <w:p>
      <w:pPr>
        <w:pStyle w:val="6"/>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经济效益。年初设定经济效益指标为城乡居民养老保险覆盖率，截至2021年末，根据全覆盖系统反馈的数据，我</w:t>
      </w:r>
      <w:r>
        <w:rPr>
          <w:rFonts w:hint="eastAsia" w:asciiTheme="minorEastAsia" w:hAnsiTheme="minorEastAsia" w:cstheme="minorEastAsia"/>
          <w:color w:val="000000"/>
          <w:kern w:val="0"/>
          <w:sz w:val="32"/>
          <w:szCs w:val="32"/>
          <w:highlight w:val="none"/>
          <w:lang w:val="en-US" w:eastAsia="zh-CN"/>
        </w:rPr>
        <w:t>县</w:t>
      </w:r>
      <w:r>
        <w:rPr>
          <w:rFonts w:hint="eastAsia" w:asciiTheme="minorEastAsia" w:hAnsiTheme="minorEastAsia" w:eastAsiaTheme="minorEastAsia" w:cstheme="minorEastAsia"/>
          <w:color w:val="000000"/>
          <w:kern w:val="0"/>
          <w:sz w:val="32"/>
          <w:szCs w:val="32"/>
          <w:highlight w:val="none"/>
        </w:rPr>
        <w:t>城乡居民基本养老保险覆盖率达100%，完成了年度设定的</w:t>
      </w:r>
      <w:r>
        <w:rPr>
          <w:rFonts w:hint="eastAsia" w:asciiTheme="minorEastAsia" w:hAnsiTheme="minorEastAsia" w:cstheme="minorEastAsia"/>
          <w:color w:val="000000"/>
          <w:kern w:val="0"/>
          <w:sz w:val="32"/>
          <w:szCs w:val="32"/>
          <w:highlight w:val="none"/>
          <w:lang w:val="en-US" w:eastAsia="zh-CN"/>
        </w:rPr>
        <w:t>绩效</w:t>
      </w:r>
      <w:r>
        <w:rPr>
          <w:rFonts w:hint="eastAsia" w:asciiTheme="minorEastAsia" w:hAnsiTheme="minorEastAsia" w:eastAsiaTheme="minorEastAsia" w:cstheme="minorEastAsia"/>
          <w:color w:val="000000"/>
          <w:kern w:val="0"/>
          <w:sz w:val="32"/>
          <w:szCs w:val="32"/>
          <w:highlight w:val="none"/>
        </w:rPr>
        <w:t>目标。</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leftChars="0" w:firstLine="420" w:firstLine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社会效益。年初设定社会效益指标为城乡居保法定覆盖人数，本年度我</w:t>
      </w:r>
      <w:r>
        <w:rPr>
          <w:rFonts w:hint="eastAsia" w:asciiTheme="minorEastAsia" w:hAnsiTheme="minorEastAsia" w:eastAsiaTheme="minorEastAsia" w:cstheme="minorEastAsia"/>
          <w:color w:val="000000"/>
          <w:kern w:val="0"/>
          <w:sz w:val="32"/>
          <w:szCs w:val="32"/>
          <w:highlight w:val="none"/>
          <w:lang w:eastAsia="zh-CN"/>
        </w:rPr>
        <w:t>县</w:t>
      </w:r>
      <w:r>
        <w:rPr>
          <w:rFonts w:hint="eastAsia" w:asciiTheme="minorEastAsia" w:hAnsiTheme="minorEastAsia" w:eastAsiaTheme="minorEastAsia" w:cstheme="minorEastAsia"/>
          <w:color w:val="000000"/>
          <w:kern w:val="0"/>
          <w:sz w:val="32"/>
          <w:szCs w:val="32"/>
          <w:highlight w:val="none"/>
        </w:rPr>
        <w:t>符合参保条件人数168906人，其中待遇享受人员</w:t>
      </w:r>
      <w:r>
        <w:rPr>
          <w:rFonts w:hint="eastAsia" w:asciiTheme="minorEastAsia" w:hAnsiTheme="minorEastAsia" w:eastAsiaTheme="minorEastAsia" w:cstheme="minorEastAsia"/>
          <w:color w:val="000000"/>
          <w:kern w:val="0"/>
          <w:sz w:val="32"/>
          <w:szCs w:val="32"/>
          <w:highlight w:val="none"/>
          <w:lang w:val="en-US" w:eastAsia="zh-CN"/>
        </w:rPr>
        <w:t>36575</w:t>
      </w:r>
      <w:r>
        <w:rPr>
          <w:rFonts w:hint="eastAsia" w:asciiTheme="minorEastAsia" w:hAnsiTheme="minorEastAsia" w:eastAsiaTheme="minorEastAsia" w:cstheme="minorEastAsia"/>
          <w:color w:val="000000"/>
          <w:kern w:val="0"/>
          <w:sz w:val="32"/>
          <w:szCs w:val="32"/>
          <w:highlight w:val="none"/>
        </w:rPr>
        <w:t>人，16-59周岁应缴费人员1</w:t>
      </w:r>
      <w:r>
        <w:rPr>
          <w:rFonts w:hint="eastAsia" w:asciiTheme="minorEastAsia" w:hAnsiTheme="minorEastAsia" w:eastAsiaTheme="minorEastAsia" w:cstheme="minorEastAsia"/>
          <w:color w:val="000000"/>
          <w:kern w:val="0"/>
          <w:sz w:val="32"/>
          <w:szCs w:val="32"/>
          <w:highlight w:val="none"/>
          <w:lang w:val="en-US" w:eastAsia="zh-CN"/>
        </w:rPr>
        <w:t>26</w:t>
      </w:r>
      <w:r>
        <w:rPr>
          <w:rFonts w:hint="eastAsia" w:asciiTheme="minorEastAsia" w:hAnsiTheme="minorEastAsia" w:eastAsiaTheme="minorEastAsia" w:cstheme="minorEastAsia"/>
          <w:color w:val="000000"/>
          <w:kern w:val="0"/>
          <w:sz w:val="32"/>
          <w:szCs w:val="32"/>
          <w:highlight w:val="none"/>
        </w:rPr>
        <w:t>367人。今年新增扩面参保登记人数</w:t>
      </w:r>
      <w:r>
        <w:rPr>
          <w:rFonts w:hint="eastAsia" w:asciiTheme="minorEastAsia" w:hAnsiTheme="minorEastAsia" w:eastAsiaTheme="minorEastAsia" w:cstheme="minorEastAsia"/>
          <w:color w:val="000000"/>
          <w:kern w:val="0"/>
          <w:sz w:val="32"/>
          <w:szCs w:val="32"/>
          <w:highlight w:val="none"/>
          <w:lang w:val="en-US" w:eastAsia="zh-CN"/>
        </w:rPr>
        <w:t>5</w:t>
      </w:r>
      <w:r>
        <w:rPr>
          <w:rFonts w:hint="eastAsia" w:asciiTheme="minorEastAsia" w:hAnsiTheme="minorEastAsia" w:eastAsiaTheme="minorEastAsia" w:cstheme="minorEastAsia"/>
          <w:color w:val="000000"/>
          <w:kern w:val="0"/>
          <w:sz w:val="32"/>
          <w:szCs w:val="32"/>
          <w:highlight w:val="none"/>
        </w:rPr>
        <w:t>703人，缴费人数</w:t>
      </w:r>
      <w:r>
        <w:rPr>
          <w:rFonts w:hint="eastAsia" w:asciiTheme="minorEastAsia" w:hAnsiTheme="minorEastAsia" w:eastAsiaTheme="minorEastAsia" w:cstheme="minorEastAsia"/>
          <w:color w:val="000000"/>
          <w:kern w:val="0"/>
          <w:sz w:val="32"/>
          <w:szCs w:val="32"/>
          <w:highlight w:val="none"/>
          <w:lang w:val="en-US" w:eastAsia="zh-CN"/>
        </w:rPr>
        <w:t>8.05</w:t>
      </w:r>
      <w:r>
        <w:rPr>
          <w:rFonts w:hint="eastAsia" w:asciiTheme="minorEastAsia" w:hAnsiTheme="minorEastAsia" w:eastAsiaTheme="minorEastAsia" w:cstheme="minorEastAsia"/>
          <w:color w:val="000000"/>
          <w:kern w:val="0"/>
          <w:sz w:val="32"/>
          <w:szCs w:val="32"/>
          <w:highlight w:val="none"/>
        </w:rPr>
        <w:t>万人，共计</w:t>
      </w: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缴费</w:t>
      </w:r>
      <w:r>
        <w:rPr>
          <w:rFonts w:hint="eastAsia" w:asciiTheme="minorEastAsia" w:hAnsiTheme="minorEastAsia" w:eastAsiaTheme="minorEastAsia" w:cstheme="minorEastAsia"/>
          <w:color w:val="000000"/>
          <w:kern w:val="0"/>
          <w:sz w:val="32"/>
          <w:szCs w:val="32"/>
          <w:highlight w:val="none"/>
          <w:lang w:val="en-US" w:eastAsia="zh-CN"/>
        </w:rPr>
        <w:t>213.33</w:t>
      </w:r>
      <w:r>
        <w:rPr>
          <w:rFonts w:hint="eastAsia" w:asciiTheme="minorEastAsia" w:hAnsiTheme="minorEastAsia" w:eastAsiaTheme="minorEastAsia" w:cstheme="minorEastAsia"/>
          <w:color w:val="000000"/>
          <w:kern w:val="0"/>
          <w:sz w:val="32"/>
          <w:szCs w:val="32"/>
          <w:highlight w:val="none"/>
        </w:rPr>
        <w:t>万元，为困难群众</w:t>
      </w:r>
      <w:r>
        <w:rPr>
          <w:rFonts w:hint="eastAsia" w:asciiTheme="minorEastAsia" w:hAnsiTheme="minorEastAsia" w:eastAsiaTheme="minorEastAsia" w:cstheme="minorEastAsia"/>
          <w:color w:val="000000"/>
          <w:kern w:val="0"/>
          <w:sz w:val="32"/>
          <w:szCs w:val="32"/>
          <w:highlight w:val="none"/>
          <w:lang w:val="en-US" w:eastAsia="zh-CN"/>
        </w:rPr>
        <w:t>7550</w:t>
      </w:r>
      <w:r>
        <w:rPr>
          <w:rFonts w:hint="eastAsia" w:asciiTheme="minorEastAsia" w:hAnsiTheme="minorEastAsia" w:eastAsiaTheme="minorEastAsia" w:cstheme="minorEastAsia"/>
          <w:color w:val="000000"/>
          <w:kern w:val="0"/>
          <w:sz w:val="32"/>
          <w:szCs w:val="32"/>
          <w:highlight w:val="none"/>
        </w:rPr>
        <w:t>人代缴保费</w:t>
      </w:r>
      <w:r>
        <w:rPr>
          <w:rFonts w:hint="eastAsia" w:asciiTheme="minorEastAsia" w:hAnsiTheme="minorEastAsia" w:eastAsiaTheme="minorEastAsia" w:cstheme="minorEastAsia"/>
          <w:color w:val="000000"/>
          <w:kern w:val="0"/>
          <w:sz w:val="32"/>
          <w:szCs w:val="32"/>
          <w:highlight w:val="none"/>
          <w:lang w:val="en-US" w:eastAsia="zh-CN"/>
        </w:rPr>
        <w:t>72.89</w:t>
      </w:r>
      <w:r>
        <w:rPr>
          <w:rFonts w:hint="eastAsia" w:asciiTheme="minorEastAsia" w:hAnsiTheme="minorEastAsia" w:eastAsiaTheme="minorEastAsia" w:cstheme="minorEastAsia"/>
          <w:color w:val="000000"/>
          <w:kern w:val="0"/>
          <w:sz w:val="32"/>
          <w:szCs w:val="32"/>
          <w:highlight w:val="none"/>
        </w:rPr>
        <w:t>万元，待遇人员生存认证3.</w:t>
      </w:r>
      <w:r>
        <w:rPr>
          <w:rFonts w:hint="eastAsia" w:asciiTheme="minorEastAsia" w:hAnsiTheme="minorEastAsia" w:eastAsiaTheme="minorEastAsia" w:cstheme="minorEastAsia"/>
          <w:color w:val="000000"/>
          <w:kern w:val="0"/>
          <w:sz w:val="32"/>
          <w:szCs w:val="32"/>
          <w:highlight w:val="none"/>
          <w:lang w:val="en-US" w:eastAsia="zh-CN"/>
        </w:rPr>
        <w:t>66</w:t>
      </w:r>
      <w:r>
        <w:rPr>
          <w:rFonts w:hint="eastAsia" w:asciiTheme="minorEastAsia" w:hAnsiTheme="minorEastAsia" w:eastAsiaTheme="minorEastAsia" w:cstheme="minorEastAsia"/>
          <w:color w:val="000000"/>
          <w:kern w:val="0"/>
          <w:sz w:val="32"/>
          <w:szCs w:val="32"/>
          <w:highlight w:val="none"/>
        </w:rPr>
        <w:t>万多人。已参保</w:t>
      </w:r>
      <w:r>
        <w:rPr>
          <w:rFonts w:hint="eastAsia" w:asciiTheme="minorEastAsia" w:hAnsiTheme="minorEastAsia" w:eastAsiaTheme="minorEastAsia" w:cstheme="minorEastAsia"/>
          <w:color w:val="000000"/>
          <w:kern w:val="0"/>
          <w:sz w:val="32"/>
          <w:szCs w:val="32"/>
          <w:highlight w:val="none"/>
          <w:lang w:val="en-US" w:eastAsia="zh-CN"/>
        </w:rPr>
        <w:t>168906</w:t>
      </w:r>
      <w:r>
        <w:rPr>
          <w:rFonts w:hint="eastAsia" w:asciiTheme="minorEastAsia" w:hAnsiTheme="minorEastAsia" w:eastAsiaTheme="minorEastAsia" w:cstheme="minorEastAsia"/>
          <w:color w:val="000000"/>
          <w:kern w:val="0"/>
          <w:sz w:val="32"/>
          <w:szCs w:val="32"/>
          <w:highlight w:val="none"/>
        </w:rPr>
        <w:t>人，参保率达100%，</w:t>
      </w:r>
      <w:r>
        <w:rPr>
          <w:rFonts w:hint="eastAsia" w:asciiTheme="minorEastAsia" w:hAnsiTheme="minorEastAsia" w:eastAsiaTheme="minorEastAsia" w:cstheme="minorEastAsia"/>
          <w:color w:val="000000"/>
          <w:kern w:val="0"/>
          <w:sz w:val="32"/>
          <w:szCs w:val="32"/>
          <w:highlight w:val="none"/>
          <w:lang w:eastAsia="zh-CN"/>
        </w:rPr>
        <w:t>惠及城乡居民</w:t>
      </w:r>
      <w:r>
        <w:rPr>
          <w:rFonts w:hint="eastAsia" w:asciiTheme="minorEastAsia" w:hAnsiTheme="minorEastAsia" w:eastAsiaTheme="minorEastAsia" w:cstheme="minorEastAsia"/>
          <w:color w:val="000000"/>
          <w:kern w:val="0"/>
          <w:sz w:val="32"/>
          <w:szCs w:val="32"/>
          <w:highlight w:val="none"/>
          <w:lang w:val="en-US" w:eastAsia="zh-CN"/>
        </w:rPr>
        <w:t>3.56</w:t>
      </w:r>
      <w:r>
        <w:rPr>
          <w:rFonts w:hint="eastAsia" w:asciiTheme="minorEastAsia" w:hAnsiTheme="minorEastAsia" w:eastAsiaTheme="minorEastAsia" w:cstheme="minorEastAsia"/>
          <w:color w:val="000000"/>
          <w:kern w:val="0"/>
          <w:sz w:val="32"/>
          <w:szCs w:val="32"/>
          <w:highlight w:val="none"/>
        </w:rPr>
        <w:t>万人, 城乡居民基本养老保险资金的使用,达到了既定目标，为建立统筹城乡、广覆盖、多</w:t>
      </w: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层次的养老保险体系提供了坚实保障。</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微软雅黑" w:hAnsi="微软雅黑" w:eastAsia="微软雅黑" w:cs="微软雅黑"/>
          <w:sz w:val="32"/>
          <w:szCs w:val="32"/>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微软雅黑" w:hAnsi="微软雅黑" w:eastAsia="微软雅黑" w:cs="微软雅黑"/>
          <w:sz w:val="32"/>
          <w:szCs w:val="32"/>
        </w:rPr>
        <w:t>（三）</w:t>
      </w:r>
      <w:r>
        <w:rPr>
          <w:rFonts w:hint="eastAsia" w:asciiTheme="minorEastAsia" w:hAnsiTheme="minorEastAsia" w:eastAsiaTheme="minorEastAsia" w:cstheme="minorEastAsia"/>
          <w:color w:val="000000"/>
          <w:kern w:val="0"/>
          <w:sz w:val="32"/>
          <w:szCs w:val="32"/>
          <w:highlight w:val="none"/>
        </w:rPr>
        <w:t>满意度指标完成情况分析</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2021年，我</w:t>
      </w:r>
      <w:r>
        <w:rPr>
          <w:rFonts w:hint="eastAsia" w:asciiTheme="minorEastAsia" w:hAnsiTheme="minorEastAsia" w:cstheme="minorEastAsia"/>
          <w:color w:val="000000"/>
          <w:kern w:val="0"/>
          <w:sz w:val="32"/>
          <w:szCs w:val="32"/>
          <w:highlight w:val="none"/>
          <w:lang w:val="en-US" w:eastAsia="zh-CN"/>
        </w:rPr>
        <w:t>站</w:t>
      </w:r>
      <w:r>
        <w:rPr>
          <w:rFonts w:hint="eastAsia" w:asciiTheme="minorEastAsia" w:hAnsiTheme="minorEastAsia" w:eastAsiaTheme="minorEastAsia" w:cstheme="minorEastAsia"/>
          <w:color w:val="000000"/>
          <w:kern w:val="0"/>
          <w:sz w:val="32"/>
          <w:szCs w:val="32"/>
          <w:highlight w:val="none"/>
        </w:rPr>
        <w:t>坚持一手抓基金整改，一手抓管理服务，紧紧围绕“一覆盖两提升三保障”工作主线，通过提升经办人员的业务水平和服务质量、优化服务、减免不必要证明、一站式办理、网上预约不见面服务等方式，让参保者高效、便</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捷享受各项社保经办服务等各项措施，全面提升服务对象服务满意度，年度设定的目标为≥90%，实际测评满意度为95%，高于年初设定的绩效标准，群众满意度得到进一步提升。</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r>
        <w:rPr>
          <w:rFonts w:hint="eastAsia" w:asciiTheme="minorEastAsia" w:hAnsiTheme="minorEastAsia" w:eastAsiaTheme="minorEastAsia" w:cstheme="minorEastAsia"/>
          <w:b/>
          <w:bCs/>
          <w:color w:val="000000"/>
          <w:kern w:val="0"/>
          <w:sz w:val="32"/>
          <w:szCs w:val="32"/>
          <w:highlight w:val="none"/>
          <w:lang w:val="en-US" w:eastAsia="zh-CN"/>
        </w:rPr>
        <w:t>四、综合评价结论</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为进一步完善城乡居民养老保险制度，我</w:t>
      </w:r>
      <w:r>
        <w:rPr>
          <w:rFonts w:hint="eastAsia" w:asciiTheme="minorEastAsia" w:hAnsiTheme="minorEastAsia" w:eastAsiaTheme="minorEastAsia" w:cstheme="minorEastAsia"/>
          <w:color w:val="000000"/>
          <w:kern w:val="0"/>
          <w:sz w:val="32"/>
          <w:szCs w:val="32"/>
          <w:highlight w:val="none"/>
          <w:lang w:eastAsia="zh-CN"/>
        </w:rPr>
        <w:t>县</w:t>
      </w:r>
      <w:r>
        <w:rPr>
          <w:rFonts w:hint="eastAsia" w:asciiTheme="minorEastAsia" w:hAnsiTheme="minorEastAsia" w:eastAsiaTheme="minorEastAsia" w:cstheme="minorEastAsia"/>
          <w:color w:val="000000"/>
          <w:kern w:val="0"/>
          <w:sz w:val="32"/>
          <w:szCs w:val="32"/>
          <w:highlight w:val="none"/>
        </w:rPr>
        <w:t>2019年建立了城乡居民养老保险待遇确定和基础养老金正常调整机制的实施意见，对累积缴费年限超过15年的参保人加发年限基础养老金，2021年调整了基础养老金待遇，所需资金由市、县两</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级财政负担，从总体上看，我</w:t>
      </w:r>
      <w:r>
        <w:rPr>
          <w:rFonts w:hint="eastAsia" w:asciiTheme="minorEastAsia" w:hAnsiTheme="minorEastAsia" w:eastAsiaTheme="minorEastAsia" w:cstheme="minorEastAsia"/>
          <w:color w:val="000000"/>
          <w:kern w:val="0"/>
          <w:sz w:val="32"/>
          <w:szCs w:val="32"/>
          <w:highlight w:val="none"/>
          <w:lang w:eastAsia="zh-CN"/>
        </w:rPr>
        <w:t>局</w:t>
      </w:r>
      <w:r>
        <w:rPr>
          <w:rFonts w:hint="eastAsia" w:asciiTheme="minorEastAsia" w:hAnsiTheme="minorEastAsia" w:eastAsiaTheme="minorEastAsia" w:cstheme="minorEastAsia"/>
          <w:color w:val="000000"/>
          <w:kern w:val="0"/>
          <w:sz w:val="32"/>
          <w:szCs w:val="32"/>
          <w:highlight w:val="none"/>
        </w:rPr>
        <w:t>专项资金绩效评价总体得分为</w:t>
      </w:r>
      <w:r>
        <w:rPr>
          <w:rFonts w:hint="eastAsia" w:asciiTheme="minorEastAsia" w:hAnsiTheme="minorEastAsia" w:cstheme="minorEastAsia"/>
          <w:color w:val="000000"/>
          <w:kern w:val="0"/>
          <w:sz w:val="32"/>
          <w:szCs w:val="32"/>
          <w:highlight w:val="none"/>
          <w:lang w:val="en-US" w:eastAsia="zh-CN"/>
        </w:rPr>
        <w:t>90分</w:t>
      </w:r>
      <w:r>
        <w:rPr>
          <w:rFonts w:hint="eastAsia" w:asciiTheme="minorEastAsia" w:hAnsiTheme="minorEastAsia" w:eastAsiaTheme="minorEastAsia" w:cstheme="minorEastAsia"/>
          <w:color w:val="000000"/>
          <w:kern w:val="0"/>
          <w:sz w:val="32"/>
          <w:szCs w:val="32"/>
          <w:highlight w:val="none"/>
        </w:rPr>
        <w:t>，为“优秀”等次。</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r>
        <w:rPr>
          <w:rFonts w:hint="eastAsia" w:asciiTheme="minorEastAsia" w:hAnsiTheme="minorEastAsia" w:eastAsiaTheme="minorEastAsia" w:cstheme="minorEastAsia"/>
          <w:b/>
          <w:bCs/>
          <w:color w:val="000000"/>
          <w:kern w:val="0"/>
          <w:sz w:val="32"/>
          <w:szCs w:val="32"/>
          <w:highlight w:val="none"/>
          <w:lang w:val="en-US" w:eastAsia="zh-CN"/>
        </w:rPr>
        <w:t>五、存在的问题</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由于多种养老保险制度并行，衔接转移制度有待完善，中青年群体参保积极性不高；宣传工作还有不足，部分人员存在观望情绪。</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leftChars="0" w:firstLine="420" w:firstLine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虽然城乡居民养老保险实现了数据化管理，但从整体上看，税务征收启动后数据平台间需要相互磨合的地方很多，互联网个人客户终端开发相对滞后。</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leftChars="0" w:firstLine="420" w:firstLineChars="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我</w:t>
      </w:r>
      <w:r>
        <w:rPr>
          <w:rFonts w:hint="eastAsia" w:asciiTheme="minorEastAsia" w:hAnsiTheme="minorEastAsia" w:eastAsiaTheme="minorEastAsia" w:cstheme="minorEastAsia"/>
          <w:color w:val="000000"/>
          <w:kern w:val="0"/>
          <w:sz w:val="32"/>
          <w:szCs w:val="32"/>
          <w:highlight w:val="none"/>
          <w:lang w:eastAsia="zh-CN"/>
        </w:rPr>
        <w:t>县</w:t>
      </w:r>
      <w:r>
        <w:rPr>
          <w:rFonts w:hint="eastAsia" w:asciiTheme="minorEastAsia" w:hAnsiTheme="minorEastAsia" w:eastAsiaTheme="minorEastAsia" w:cstheme="minorEastAsia"/>
          <w:color w:val="000000"/>
          <w:kern w:val="0"/>
          <w:sz w:val="32"/>
          <w:szCs w:val="32"/>
          <w:highlight w:val="none"/>
        </w:rPr>
        <w:t>城乡居民养老保险待遇领取人员亡故后因无抚恤金和丧葬费的发放，又无职工退休人员那样的日常管理费用等，故存在待遇领取人员亡故后家属不及时申报，部分乡镇及社区（村组）在对待遇领取人员的日常服务管理中有不主动不严格的情况，死亡冒领待遇现象时有发生。</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b/>
          <w:bCs/>
          <w:color w:val="000000"/>
          <w:kern w:val="0"/>
          <w:sz w:val="32"/>
          <w:szCs w:val="32"/>
          <w:highlight w:val="none"/>
          <w:lang w:val="en-US" w:eastAsia="zh-CN"/>
        </w:rPr>
      </w:pPr>
      <w:r>
        <w:rPr>
          <w:rFonts w:hint="eastAsia" w:asciiTheme="minorEastAsia" w:hAnsiTheme="minorEastAsia" w:eastAsiaTheme="minorEastAsia" w:cstheme="minorEastAsia"/>
          <w:b/>
          <w:bCs/>
          <w:color w:val="000000"/>
          <w:kern w:val="0"/>
          <w:sz w:val="32"/>
          <w:szCs w:val="32"/>
          <w:highlight w:val="none"/>
          <w:lang w:val="en-US" w:eastAsia="zh-CN"/>
        </w:rPr>
        <w:t>六、其他需要说明的问题</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p>
    <w:p>
      <w:pPr>
        <w:pStyle w:val="6"/>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Theme="minorEastAsia" w:hAnsiTheme="minorEastAsia" w:eastAsiaTheme="minorEastAsia" w:cstheme="minorEastAsia"/>
          <w:color w:val="000000"/>
          <w:kern w:val="0"/>
          <w:sz w:val="32"/>
          <w:szCs w:val="32"/>
          <w:highlight w:val="none"/>
        </w:rPr>
      </w:pPr>
      <w:r>
        <w:rPr>
          <w:rFonts w:hint="eastAsia" w:asciiTheme="minorEastAsia" w:hAnsiTheme="minorEastAsia" w:eastAsiaTheme="minorEastAsia" w:cstheme="minorEastAsia"/>
          <w:color w:val="000000"/>
          <w:kern w:val="0"/>
          <w:sz w:val="32"/>
          <w:szCs w:val="32"/>
          <w:highlight w:val="none"/>
        </w:rPr>
        <w:t>在今后的工作中要充分利用电视、广播、报刊、网络等媒体，运用通俗易懂的宣传方式，组织力量深入乡镇（街道）、村（社区），加大政策宣传力度，使城乡居民养老保险政策深入人心、家喻户晓，引导适龄城乡居民积极参保缴费，推动工作顺利开展。</w:t>
      </w:r>
    </w:p>
    <w:p>
      <w:pPr>
        <w:pStyle w:val="6"/>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20" w:firstLineChars="0"/>
        <w:jc w:val="both"/>
        <w:textAlignment w:val="auto"/>
        <w:rPr>
          <w:rFonts w:hint="eastAsia" w:asciiTheme="minorEastAsia" w:hAnsiTheme="minorEastAsia" w:cstheme="minorEastAsia"/>
          <w:color w:val="000000"/>
          <w:kern w:val="0"/>
          <w:sz w:val="32"/>
          <w:szCs w:val="32"/>
          <w:highlight w:val="none"/>
          <w:lang w:val="en-US" w:eastAsia="zh-CN"/>
        </w:rPr>
      </w:pPr>
      <w:r>
        <w:rPr>
          <w:rFonts w:hint="eastAsia" w:asciiTheme="minorEastAsia" w:hAnsiTheme="minorEastAsia" w:cstheme="minorEastAsia"/>
          <w:color w:val="000000"/>
          <w:kern w:val="0"/>
          <w:sz w:val="32"/>
          <w:szCs w:val="32"/>
          <w:highlight w:val="none"/>
          <w:lang w:val="en-US" w:eastAsia="zh-CN"/>
        </w:rPr>
        <w:t>进一步加强社保基金管理。</w:t>
      </w:r>
    </w:p>
    <w:p>
      <w:pPr>
        <w:pStyle w:val="6"/>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20" w:firstLineChars="0"/>
        <w:jc w:val="both"/>
        <w:textAlignment w:val="auto"/>
        <w:rPr>
          <w:rFonts w:hint="default" w:asciiTheme="minorEastAsia" w:hAnsiTheme="minorEastAsia" w:cstheme="minorEastAsia"/>
          <w:color w:val="000000"/>
          <w:kern w:val="0"/>
          <w:sz w:val="32"/>
          <w:szCs w:val="32"/>
          <w:highlight w:val="none"/>
          <w:lang w:val="en-US" w:eastAsia="zh-CN"/>
        </w:rPr>
      </w:pPr>
      <w:r>
        <w:rPr>
          <w:rFonts w:hint="eastAsia" w:asciiTheme="minorEastAsia" w:hAnsiTheme="minorEastAsia" w:cstheme="minorEastAsia"/>
          <w:color w:val="000000"/>
          <w:kern w:val="0"/>
          <w:sz w:val="32"/>
          <w:szCs w:val="32"/>
          <w:highlight w:val="none"/>
          <w:lang w:val="en-US" w:eastAsia="zh-CN"/>
        </w:rPr>
        <w:t>加强死亡人员的及时申报工作。</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420"/>
        <w:jc w:val="both"/>
        <w:textAlignment w:val="auto"/>
        <w:rPr>
          <w:rFonts w:hint="eastAsia" w:ascii="微软雅黑" w:hAnsi="微软雅黑" w:eastAsia="微软雅黑" w:cs="微软雅黑"/>
          <w:sz w:val="32"/>
          <w:szCs w:val="32"/>
        </w:rPr>
      </w:pPr>
    </w:p>
    <w:p>
      <w:pPr>
        <w:keepNext w:val="0"/>
        <w:keepLines w:val="0"/>
        <w:pageBreakBefore w:val="0"/>
        <w:kinsoku/>
        <w:wordWrap/>
        <w:overflowPunct/>
        <w:topLinePunct w:val="0"/>
        <w:autoSpaceDE/>
        <w:autoSpaceDN/>
        <w:bidi w:val="0"/>
        <w:adjustRightInd/>
        <w:snapToGrid/>
        <w:spacing w:after="600" w:line="360" w:lineRule="auto"/>
        <w:ind w:firstLine="640" w:firstLineChars="200"/>
        <w:jc w:val="both"/>
        <w:textAlignment w:val="auto"/>
        <w:rPr>
          <w:rFonts w:hint="eastAsia" w:asciiTheme="minorEastAsia" w:hAnsiTheme="minorEastAsia" w:eastAsiaTheme="minorEastAsia" w:cstheme="minorEastAsia"/>
          <w:color w:val="000000"/>
          <w:sz w:val="32"/>
          <w:szCs w:val="32"/>
        </w:rPr>
      </w:pPr>
      <w:r>
        <w:rPr>
          <w:rFonts w:hint="eastAsia" w:asciiTheme="minorEastAsia" w:hAnsiTheme="minorEastAsia" w:eastAsiaTheme="minorEastAsia" w:cstheme="minorEastAsia"/>
          <w:color w:val="000000"/>
          <w:sz w:val="32"/>
          <w:szCs w:val="32"/>
        </w:rPr>
        <w:t>附：部门整体支出绩效评价指标评分表</w:t>
      </w:r>
    </w:p>
    <w:p>
      <w:pPr>
        <w:pStyle w:val="6"/>
        <w:keepNext w:val="0"/>
        <w:keepLines w:val="0"/>
        <w:widowControl/>
        <w:suppressLineNumbers w:val="0"/>
        <w:spacing w:before="0" w:beforeAutospacing="0" w:after="0" w:afterAutospacing="0" w:line="33" w:lineRule="atLeast"/>
        <w:ind w:left="0" w:firstLine="420"/>
        <w:jc w:val="both"/>
        <w:rPr>
          <w:rFonts w:hint="eastAsia" w:ascii="微软雅黑" w:hAnsi="微软雅黑" w:eastAsia="微软雅黑" w:cs="微软雅黑"/>
          <w:sz w:val="21"/>
          <w:szCs w:val="21"/>
        </w:rPr>
      </w:pPr>
    </w:p>
    <w:p>
      <w:pPr>
        <w:pStyle w:val="6"/>
        <w:keepNext w:val="0"/>
        <w:keepLines w:val="0"/>
        <w:widowControl/>
        <w:suppressLineNumbers w:val="0"/>
        <w:spacing w:before="0" w:beforeAutospacing="0" w:after="0" w:afterAutospacing="0" w:line="33" w:lineRule="atLeast"/>
        <w:ind w:left="0" w:firstLine="420"/>
        <w:jc w:val="both"/>
        <w:rPr>
          <w:rFonts w:hint="eastAsia" w:ascii="微软雅黑" w:hAnsi="微软雅黑" w:eastAsia="微软雅黑" w:cs="微软雅黑"/>
          <w:sz w:val="21"/>
          <w:szCs w:val="21"/>
        </w:rPr>
      </w:pPr>
    </w:p>
    <w:p>
      <w:pPr>
        <w:pStyle w:val="6"/>
        <w:keepNext w:val="0"/>
        <w:keepLines w:val="0"/>
        <w:widowControl/>
        <w:suppressLineNumbers w:val="0"/>
        <w:spacing w:before="0" w:beforeAutospacing="0" w:after="0" w:afterAutospacing="0" w:line="33" w:lineRule="atLeast"/>
        <w:ind w:left="0" w:firstLine="420"/>
        <w:jc w:val="both"/>
        <w:rPr>
          <w:rFonts w:hint="eastAsia" w:ascii="微软雅黑" w:hAnsi="微软雅黑" w:eastAsia="微软雅黑" w:cs="微软雅黑"/>
          <w:sz w:val="21"/>
          <w:szCs w:val="21"/>
        </w:rPr>
      </w:pPr>
    </w:p>
    <w:p>
      <w:pPr>
        <w:pStyle w:val="6"/>
        <w:keepNext w:val="0"/>
        <w:keepLines w:val="0"/>
        <w:widowControl/>
        <w:suppressLineNumbers w:val="0"/>
        <w:spacing w:before="0" w:beforeAutospacing="0" w:after="0" w:afterAutospacing="0" w:line="33" w:lineRule="atLeast"/>
        <w:ind w:firstLine="4320" w:firstLineChars="1800"/>
        <w:jc w:val="both"/>
        <w:rPr>
          <w:rFonts w:hint="eastAsia" w:asciiTheme="minorEastAsia" w:hAnsiTheme="minorEastAsia" w:eastAsiaTheme="minorEastAsia" w:cstheme="minorEastAsia"/>
          <w:color w:val="000000"/>
          <w:kern w:val="0"/>
          <w:sz w:val="24"/>
          <w:szCs w:val="24"/>
          <w:highlight w:val="none"/>
          <w:lang w:eastAsia="zh-CN"/>
        </w:rPr>
      </w:pPr>
    </w:p>
    <w:p>
      <w:pPr>
        <w:pStyle w:val="6"/>
        <w:keepNext w:val="0"/>
        <w:keepLines w:val="0"/>
        <w:widowControl/>
        <w:suppressLineNumbers w:val="0"/>
        <w:spacing w:before="0" w:beforeAutospacing="0" w:after="0" w:afterAutospacing="0" w:line="33" w:lineRule="atLeast"/>
        <w:ind w:firstLine="4320" w:firstLineChars="1800"/>
        <w:jc w:val="both"/>
        <w:rPr>
          <w:rFonts w:hint="eastAsia" w:asciiTheme="minorEastAsia" w:hAnsiTheme="minorEastAsia" w:eastAsiaTheme="minorEastAsia" w:cstheme="minorEastAsia"/>
          <w:color w:val="000000"/>
          <w:kern w:val="0"/>
          <w:sz w:val="24"/>
          <w:szCs w:val="24"/>
          <w:highlight w:val="none"/>
          <w:lang w:eastAsia="zh-CN"/>
        </w:rPr>
      </w:pPr>
    </w:p>
    <w:p>
      <w:pPr>
        <w:pStyle w:val="6"/>
        <w:keepNext w:val="0"/>
        <w:keepLines w:val="0"/>
        <w:widowControl/>
        <w:suppressLineNumbers w:val="0"/>
        <w:spacing w:before="0" w:beforeAutospacing="0" w:after="0" w:afterAutospacing="0" w:line="33" w:lineRule="atLeast"/>
        <w:ind w:firstLine="4320" w:firstLineChars="1800"/>
        <w:jc w:val="both"/>
        <w:rPr>
          <w:rFonts w:hint="eastAsia" w:asciiTheme="minorEastAsia" w:hAnsiTheme="minorEastAsia" w:eastAsiaTheme="minorEastAsia" w:cstheme="minorEastAsia"/>
          <w:color w:val="000000"/>
          <w:kern w:val="0"/>
          <w:sz w:val="24"/>
          <w:szCs w:val="24"/>
          <w:highlight w:val="none"/>
          <w:lang w:eastAsia="zh-CN"/>
        </w:rPr>
      </w:pPr>
    </w:p>
    <w:p>
      <w:pPr>
        <w:pStyle w:val="6"/>
        <w:keepNext w:val="0"/>
        <w:keepLines w:val="0"/>
        <w:widowControl/>
        <w:suppressLineNumbers w:val="0"/>
        <w:spacing w:before="0" w:beforeAutospacing="0" w:after="0" w:afterAutospacing="0" w:line="33" w:lineRule="atLeast"/>
        <w:ind w:firstLine="4320" w:firstLineChars="1800"/>
        <w:jc w:val="both"/>
        <w:rPr>
          <w:rFonts w:hint="eastAsia" w:asciiTheme="minorEastAsia" w:hAnsiTheme="minorEastAsia" w:eastAsiaTheme="minorEastAsia" w:cstheme="minorEastAsia"/>
          <w:color w:val="000000"/>
          <w:kern w:val="0"/>
          <w:sz w:val="24"/>
          <w:szCs w:val="24"/>
          <w:highlight w:val="none"/>
          <w:lang w:eastAsia="zh-CN"/>
        </w:rPr>
      </w:pPr>
    </w:p>
    <w:p>
      <w:pPr>
        <w:pStyle w:val="6"/>
        <w:keepNext w:val="0"/>
        <w:keepLines w:val="0"/>
        <w:widowControl/>
        <w:suppressLineNumbers w:val="0"/>
        <w:spacing w:before="0" w:beforeAutospacing="0" w:after="0" w:afterAutospacing="0" w:line="33" w:lineRule="atLeast"/>
        <w:ind w:firstLine="4320" w:firstLineChars="1800"/>
        <w:jc w:val="both"/>
        <w:rPr>
          <w:rFonts w:hint="eastAsia" w:asciiTheme="minorEastAsia" w:hAnsiTheme="minorEastAsia" w:eastAsiaTheme="minorEastAsia" w:cstheme="minorEastAsia"/>
          <w:color w:val="000000"/>
          <w:kern w:val="0"/>
          <w:sz w:val="24"/>
          <w:szCs w:val="24"/>
          <w:highlight w:val="none"/>
          <w:lang w:eastAsia="zh-CN"/>
        </w:rPr>
      </w:pPr>
    </w:p>
    <w:p>
      <w:pPr>
        <w:pStyle w:val="6"/>
        <w:keepNext w:val="0"/>
        <w:keepLines w:val="0"/>
        <w:widowControl/>
        <w:suppressLineNumbers w:val="0"/>
        <w:spacing w:before="0" w:beforeAutospacing="0" w:after="0" w:afterAutospacing="0" w:line="33" w:lineRule="atLeast"/>
        <w:ind w:left="0" w:firstLine="420"/>
        <w:jc w:val="both"/>
        <w:rPr>
          <w:rFonts w:hint="eastAsia" w:asciiTheme="minorEastAsia" w:hAnsiTheme="minorEastAsia" w:eastAsiaTheme="minorEastAsia" w:cstheme="minorEastAsia"/>
          <w:color w:val="000000"/>
          <w:kern w:val="0"/>
          <w:sz w:val="24"/>
          <w:szCs w:val="24"/>
          <w:highlight w:val="none"/>
        </w:rPr>
      </w:pPr>
    </w:p>
    <w:p>
      <w:pPr>
        <w:pStyle w:val="6"/>
        <w:keepNext w:val="0"/>
        <w:keepLines w:val="0"/>
        <w:widowControl/>
        <w:suppressLineNumbers w:val="0"/>
        <w:spacing w:before="0" w:beforeAutospacing="0" w:after="0" w:afterAutospacing="0" w:line="33" w:lineRule="atLeast"/>
        <w:ind w:left="0" w:firstLine="420"/>
        <w:jc w:val="both"/>
        <w:rPr>
          <w:rFonts w:hint="eastAsia" w:asciiTheme="minorEastAsia" w:hAnsiTheme="minorEastAsia" w:eastAsiaTheme="minorEastAsia" w:cstheme="minorEastAsia"/>
          <w:color w:val="000000"/>
          <w:kern w:val="0"/>
          <w:sz w:val="24"/>
          <w:szCs w:val="24"/>
          <w:highlight w:val="none"/>
        </w:rPr>
      </w:pPr>
    </w:p>
    <w:p>
      <w:pPr>
        <w:pStyle w:val="6"/>
        <w:keepNext w:val="0"/>
        <w:keepLines w:val="0"/>
        <w:widowControl/>
        <w:suppressLineNumbers w:val="0"/>
        <w:spacing w:before="0" w:beforeAutospacing="0" w:after="0" w:afterAutospacing="0" w:line="33" w:lineRule="atLeast"/>
        <w:ind w:left="0" w:firstLine="420"/>
        <w:jc w:val="both"/>
        <w:rPr>
          <w:rFonts w:hint="eastAsia" w:asciiTheme="minorEastAsia" w:hAnsiTheme="minorEastAsia" w:eastAsiaTheme="minorEastAsia" w:cstheme="minorEastAsia"/>
          <w:color w:val="000000"/>
          <w:kern w:val="0"/>
          <w:sz w:val="24"/>
          <w:szCs w:val="24"/>
          <w:highlight w:val="none"/>
        </w:rPr>
      </w:pPr>
    </w:p>
    <w:p>
      <w:pPr>
        <w:pStyle w:val="6"/>
        <w:keepNext w:val="0"/>
        <w:keepLines w:val="0"/>
        <w:widowControl/>
        <w:suppressLineNumbers w:val="0"/>
        <w:spacing w:before="0" w:beforeAutospacing="0" w:after="0" w:afterAutospacing="0" w:line="33" w:lineRule="atLeast"/>
        <w:ind w:left="0" w:firstLine="420"/>
        <w:jc w:val="both"/>
        <w:rPr>
          <w:rFonts w:hint="eastAsia" w:asciiTheme="minorEastAsia" w:hAnsiTheme="minorEastAsia" w:eastAsiaTheme="minorEastAsia" w:cstheme="minorEastAsia"/>
          <w:color w:val="000000"/>
          <w:kern w:val="0"/>
          <w:sz w:val="24"/>
          <w:szCs w:val="24"/>
          <w:highlight w:val="none"/>
        </w:rPr>
      </w:pPr>
    </w:p>
    <w:tbl>
      <w:tblPr>
        <w:tblStyle w:val="8"/>
        <w:tblpPr w:leftFromText="180" w:rightFromText="180" w:vertAnchor="text" w:horzAnchor="page" w:tblpX="1012" w:tblpY="431"/>
        <w:tblOverlap w:val="never"/>
        <w:tblW w:w="102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16"/>
        <w:gridCol w:w="1240"/>
        <w:gridCol w:w="1416"/>
        <w:gridCol w:w="1616"/>
        <w:gridCol w:w="1366"/>
        <w:gridCol w:w="1366"/>
        <w:gridCol w:w="616"/>
        <w:gridCol w:w="816"/>
        <w:gridCol w:w="82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280" w:type="dxa"/>
            <w:gridSpan w:val="9"/>
            <w:tcBorders>
              <w:top w:val="nil"/>
              <w:left w:val="nil"/>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eastAsia"/>
                <w:b/>
                <w:bCs/>
                <w:lang w:val="en-US" w:eastAsia="zh-CN"/>
              </w:rPr>
            </w:pPr>
            <w:r>
              <w:rPr>
                <w:rFonts w:hint="eastAsia"/>
                <w:b/>
                <w:bCs/>
                <w:lang w:val="en-US" w:eastAsia="zh-CN"/>
              </w:rPr>
              <w:t>2021年度项目支出绩效自评表</w:t>
            </w:r>
          </w:p>
          <w:p>
            <w:pPr>
              <w:pStyle w:val="7"/>
              <w:rPr>
                <w:rFonts w:hint="eastAsi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0" w:type="auto"/>
            <w:gridSpan w:val="8"/>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城乡居民基本养老保险县级基础养老金补助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主管部门</w:t>
            </w:r>
          </w:p>
        </w:tc>
        <w:tc>
          <w:tcPr>
            <w:tcW w:w="0" w:type="auto"/>
            <w:gridSpan w:val="4"/>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县财政局</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实施单位</w:t>
            </w:r>
          </w:p>
        </w:tc>
        <w:tc>
          <w:tcPr>
            <w:tcW w:w="0" w:type="auto"/>
            <w:gridSpan w:val="3"/>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县财政局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0" w:type="auto"/>
            <w:vMerge w:val="restart"/>
            <w:tcBorders>
              <w:top w:val="nil"/>
              <w:left w:val="single" w:color="auto" w:sz="4" w:space="0"/>
              <w:bottom w:val="single" w:color="auto" w:sz="4" w:space="0"/>
              <w:right w:val="single" w:color="auto" w:sz="4" w:space="0"/>
            </w:tcBorders>
            <w:shd w:val="clear" w:color="auto" w:fill="auto"/>
            <w:noWrap/>
            <w:textDirection w:val="tbRlV"/>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项目资金（万元）</w:t>
            </w:r>
          </w:p>
        </w:tc>
        <w:tc>
          <w:tcPr>
            <w:tcW w:w="0" w:type="auto"/>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年初预算</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全年预算</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全年执行数</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分值</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执行率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0" w:type="auto"/>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年度资金总额</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7252.67</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7252.67</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7252.67</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0" w:type="auto"/>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其中当年财政拨款</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5119.3</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5119.3</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5119.3</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3"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0" w:type="auto"/>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上年结转资金</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0" w:type="auto"/>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其他资金</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2133.37</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2133.37</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2133.37</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940" w:type="dxa"/>
            <w:vMerge w:val="restart"/>
            <w:tcBorders>
              <w:top w:val="nil"/>
              <w:left w:val="single" w:color="auto" w:sz="4" w:space="0"/>
              <w:bottom w:val="single" w:color="000000" w:sz="4" w:space="0"/>
              <w:right w:val="single" w:color="auto" w:sz="4" w:space="0"/>
            </w:tcBorders>
            <w:shd w:val="clear" w:color="auto" w:fill="auto"/>
            <w:textDirection w:val="tbRlV"/>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年度总体目标</w:t>
            </w:r>
          </w:p>
        </w:tc>
        <w:tc>
          <w:tcPr>
            <w:tcW w:w="0" w:type="auto"/>
            <w:gridSpan w:val="4"/>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预期目标</w:t>
            </w:r>
          </w:p>
        </w:tc>
        <w:tc>
          <w:tcPr>
            <w:tcW w:w="0" w:type="auto"/>
            <w:gridSpan w:val="4"/>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2" w:hRule="atLeast"/>
        </w:trPr>
        <w:tc>
          <w:tcPr>
            <w:tcW w:w="940" w:type="dxa"/>
            <w:vMerge w:val="continue"/>
            <w:tcBorders>
              <w:top w:val="nil"/>
              <w:left w:val="single" w:color="auto" w:sz="4" w:space="0"/>
              <w:bottom w:val="single" w:color="000000" w:sz="4" w:space="0"/>
              <w:right w:val="single" w:color="auto" w:sz="4" w:space="0"/>
            </w:tcBorders>
            <w:shd w:val="clear" w:color="auto" w:fill="auto"/>
            <w:textDirection w:val="tbRlV"/>
            <w:vAlign w:val="center"/>
          </w:tcPr>
          <w:p>
            <w:pPr>
              <w:jc w:val="center"/>
              <w:rPr>
                <w:rFonts w:hint="eastAsia" w:ascii="宋体" w:hAnsi="宋体" w:eastAsia="宋体" w:cs="宋体"/>
                <w:i w:val="0"/>
                <w:iCs w:val="0"/>
                <w:color w:val="000000"/>
                <w:sz w:val="20"/>
                <w:szCs w:val="20"/>
                <w:u w:val="none"/>
              </w:rPr>
            </w:pPr>
          </w:p>
        </w:tc>
        <w:tc>
          <w:tcPr>
            <w:tcW w:w="5320"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通过开展基础养老金补助项目，加强城乡居民对养老保险的认识度和参与度，提高社会保障工作水平，使到龄老百姓能老有所养、老有所依，提高人民幸福感。</w:t>
            </w:r>
          </w:p>
        </w:tc>
        <w:tc>
          <w:tcPr>
            <w:tcW w:w="0" w:type="auto"/>
            <w:gridSpan w:val="4"/>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应保尽保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vMerge w:val="restart"/>
            <w:tcBorders>
              <w:top w:val="nil"/>
              <w:left w:val="single" w:color="auto" w:sz="4" w:space="0"/>
              <w:bottom w:val="single" w:color="auto" w:sz="4" w:space="0"/>
              <w:right w:val="single" w:color="auto" w:sz="4" w:space="0"/>
            </w:tcBorders>
            <w:shd w:val="clear" w:color="auto" w:fill="auto"/>
            <w:noWrap/>
            <w:textDirection w:val="tbRlV"/>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绩效指标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一级指标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二级指标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三级指标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年度指标值</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实际完成值</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分值</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得分</w:t>
            </w:r>
          </w:p>
        </w:tc>
        <w:tc>
          <w:tcPr>
            <w:tcW w:w="96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restart"/>
            <w:tcBorders>
              <w:top w:val="nil"/>
              <w:left w:val="single" w:color="auto" w:sz="4" w:space="0"/>
              <w:bottom w:val="single" w:color="000000"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产出指标（50分）</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基本养老金补助</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7252.67万元</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7252.67万元</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13</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continue"/>
            <w:tcBorders>
              <w:top w:val="nil"/>
              <w:left w:val="single" w:color="auto" w:sz="4" w:space="0"/>
              <w:bottom w:val="single" w:color="000000" w:sz="4" w:space="0"/>
              <w:right w:val="single" w:color="auto"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148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资金到位率和合规性使用率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13</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continue"/>
            <w:tcBorders>
              <w:top w:val="nil"/>
              <w:left w:val="single" w:color="auto" w:sz="4" w:space="0"/>
              <w:bottom w:val="single" w:color="000000" w:sz="4" w:space="0"/>
              <w:right w:val="single" w:color="auto"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按时足额发放</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12月31日前</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已完成</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continue"/>
            <w:tcBorders>
              <w:top w:val="nil"/>
              <w:left w:val="single" w:color="auto" w:sz="4" w:space="0"/>
              <w:bottom w:val="single" w:color="000000" w:sz="4" w:space="0"/>
              <w:right w:val="single" w:color="auto"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成本指标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管理制度健全性</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健全</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较健全</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6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管理制度需进一步完善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restart"/>
            <w:tcBorders>
              <w:top w:val="nil"/>
              <w:left w:val="single" w:color="auto" w:sz="4" w:space="0"/>
              <w:bottom w:val="single" w:color="000000"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效益指标（40分）</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经济效益指标</w:t>
            </w:r>
          </w:p>
        </w:tc>
        <w:tc>
          <w:tcPr>
            <w:tcW w:w="148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城乡居民养老保险覆盖率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continue"/>
            <w:tcBorders>
              <w:top w:val="nil"/>
              <w:left w:val="single" w:color="auto" w:sz="4" w:space="0"/>
              <w:bottom w:val="single" w:color="000000" w:sz="4" w:space="0"/>
              <w:right w:val="single" w:color="auto"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社会效益指标</w:t>
            </w:r>
          </w:p>
        </w:tc>
        <w:tc>
          <w:tcPr>
            <w:tcW w:w="148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城乡居民养老保险参保人数</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16.89万人</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16.89万人</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continue"/>
            <w:tcBorders>
              <w:top w:val="nil"/>
              <w:left w:val="single" w:color="auto" w:sz="4" w:space="0"/>
              <w:bottom w:val="single" w:color="000000" w:sz="4" w:space="0"/>
              <w:right w:val="single" w:color="auto"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生态效益指标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专款专用率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0" w:type="auto"/>
            <w:vMerge w:val="continue"/>
            <w:tcBorders>
              <w:top w:val="nil"/>
              <w:left w:val="single" w:color="auto" w:sz="4" w:space="0"/>
              <w:bottom w:val="single" w:color="auto" w:sz="4" w:space="0"/>
              <w:right w:val="single" w:color="auto" w:sz="4" w:space="0"/>
            </w:tcBorders>
            <w:shd w:val="clear" w:color="auto" w:fill="auto"/>
            <w:noWrap/>
            <w:textDirection w:val="tbRlV"/>
            <w:vAlign w:val="center"/>
          </w:tcPr>
          <w:p>
            <w:pPr>
              <w:jc w:val="center"/>
              <w:rPr>
                <w:rFonts w:hint="eastAsia" w:ascii="宋体" w:hAnsi="宋体" w:eastAsia="宋体" w:cs="宋体"/>
                <w:i w:val="0"/>
                <w:iCs w:val="0"/>
                <w:color w:val="000000"/>
                <w:sz w:val="20"/>
                <w:szCs w:val="20"/>
                <w:u w:val="none"/>
              </w:rPr>
            </w:pPr>
          </w:p>
        </w:tc>
        <w:tc>
          <w:tcPr>
            <w:tcW w:w="1240" w:type="dxa"/>
            <w:vMerge w:val="continue"/>
            <w:tcBorders>
              <w:top w:val="nil"/>
              <w:left w:val="single" w:color="auto" w:sz="4" w:space="0"/>
              <w:bottom w:val="single" w:color="000000" w:sz="4" w:space="0"/>
              <w:right w:val="single" w:color="auto"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3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服务对象满意度指标</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服务对象满意度</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pBdr>
                <w:top w:val="none" w:color="auto" w:sz="0" w:space="0"/>
                <w:left w:val="none" w:color="auto" w:sz="0" w:space="0"/>
                <w:right w:val="none" w:color="auto" w:sz="0" w:space="0"/>
              </w:pBdr>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0" w:type="auto"/>
            <w:gridSpan w:val="6"/>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总分</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90</w:t>
            </w:r>
          </w:p>
        </w:tc>
        <w:tc>
          <w:tcPr>
            <w:tcW w:w="0" w:type="auto"/>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w:t>
            </w:r>
          </w:p>
        </w:tc>
      </w:tr>
    </w:tbl>
    <w:p>
      <w:pPr>
        <w:rPr>
          <w:sz w:val="24"/>
          <w:szCs w:val="24"/>
        </w:rPr>
      </w:pPr>
      <w:r>
        <w:pict>
          <v:shape id="文本框 2" o:spid="_x0000_s2052" o:spt="202" type="#_x0000_t202" style="position:absolute;left:0pt;margin-left:21.15pt;margin-top:23.65pt;height:755.85pt;width:553.1pt;mso-position-horizontal-relative:page;mso-position-vertical-relative:page;mso-wrap-distance-bottom:0pt;mso-wrap-distance-left:9pt;mso-wrap-distance-right:9pt;mso-wrap-distance-top:0pt;z-index:251659264;mso-width-relative:page;mso-height-relative:page;" filled="f" stroked="f" coordsize="21600,21600" o:gfxdata="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C8QTYTZAAAADAEAAA8AAAAAAAAAAQAg&#10;AAAAIgAAAGRycy9kb3ducmV2LnhtbFBLAQIUABQAAAAIAIdO4kD7W9wk1AEAAJwDAAAOAAAAAAAA&#10;AAEAIAAAACgBAABkcnMvZTJvRG9jLnhtbFBLBQYAAAAABgAGAFkBAABuBQAAAAA=&#10;">
            <v:path/>
            <v:fill on="f" focussize="0,0"/>
            <v:stroke on="f" weight="0.5pt"/>
            <v:imagedata o:title=""/>
            <o:lock v:ext="edit" aspectratio="f"/>
            <v:textbox inset="2pt,0mm,2pt,0mm">
              <w:txbxContent>
                <w:p>
                  <w:pPr>
                    <w:spacing w:line="215" w:lineRule="exact"/>
                    <w:ind w:firstLine="0"/>
                    <w:jc w:val="both"/>
                    <w:rPr>
                      <w:color w:val="000000"/>
                      <w:sz w:val="16"/>
                    </w:rPr>
                  </w:pPr>
                </w:p>
                <w:p/>
              </w:txbxContent>
            </v:textbox>
            <w10:wrap type="square"/>
          </v:shape>
        </w:pict>
      </w:r>
      <w:r>
        <w:pict>
          <v:shape id="_x0000_s2053" o:spid="_x0000_s2053" o:spt="202" type="#_x0000_t202" style="position:absolute;left:0pt;margin-left:23.5pt;margin-top:75.05pt;height:41.05pt;width:534.95pt;mso-position-horizontal-relative:page;mso-position-vertical-relative:page;mso-wrap-distance-bottom:0pt;mso-wrap-distance-left:9pt;mso-wrap-distance-right:9pt;mso-wrap-distance-top:0pt;z-index:251660288;mso-width-relative:page;mso-height-relative:page;" filled="f" stroked="f" coordsize="21600,21600" o:gfxdata="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Kvp5PbXAAAADQEAAA8AAAAAAAAAAQAgAAAA&#10;IgAAAGRycy9kb3ducmV2LnhtbFBLAQIUABQAAAAIAIdO4kB1oV7a0wEAAJ0DAAAOAAAAAAAAAAEA&#10;IAAAACYBAABkcnMvZTJvRG9jLnhtbFBLBQYAAAAABgAGAFkBAABrBQAAAAA=&#10;">
            <v:path/>
            <v:fill on="f" focussize="0,0"/>
            <v:stroke on="f" weight="0.5pt"/>
            <v:imagedata o:title=""/>
            <o:lock v:ext="edit" aspectratio="f"/>
            <v:textbox inset="2pt,0mm,2pt,0mm">
              <w:txbxContent>
                <w:p/>
              </w:txbxContent>
            </v:textbox>
            <w10:wrap type="square"/>
          </v:shape>
        </w:pict>
      </w:r>
    </w:p>
    <w:sectPr>
      <w:footerReference r:id="rId3" w:type="default"/>
      <w:pgSz w:w="11900" w:h="16840"/>
      <w:pgMar w:top="0" w:right="1480" w:bottom="1440" w:left="1800" w:header="851" w:footer="992" w:gutter="0"/>
      <w:pgNumType w:fmt="decimal" w:start="1"/>
      <w:cols w:space="4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center" w:pos="4150"/>
        <w:tab w:val="clear" w:pos="4153"/>
      </w:tabs>
    </w:pPr>
    <w:r>
      <w:rPr>
        <w:sz w:val="18"/>
      </w:rP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2</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D2DCF1"/>
    <w:multiLevelType w:val="singleLevel"/>
    <w:tmpl w:val="8BD2DCF1"/>
    <w:lvl w:ilvl="0" w:tentative="0">
      <w:start w:val="1"/>
      <w:numFmt w:val="decimal"/>
      <w:suff w:val="nothing"/>
      <w:lvlText w:val="%1、"/>
      <w:lvlJc w:val="left"/>
    </w:lvl>
  </w:abstractNum>
  <w:abstractNum w:abstractNumId="1">
    <w:nsid w:val="D9D96995"/>
    <w:multiLevelType w:val="singleLevel"/>
    <w:tmpl w:val="D9D96995"/>
    <w:lvl w:ilvl="0" w:tentative="0">
      <w:start w:val="1"/>
      <w:numFmt w:val="decimal"/>
      <w:suff w:val="nothing"/>
      <w:lvlText w:val="%1、"/>
      <w:lvlJc w:val="left"/>
    </w:lvl>
  </w:abstractNum>
  <w:abstractNum w:abstractNumId="2">
    <w:nsid w:val="27A88784"/>
    <w:multiLevelType w:val="singleLevel"/>
    <w:tmpl w:val="27A88784"/>
    <w:lvl w:ilvl="0" w:tentative="0">
      <w:start w:val="1"/>
      <w:numFmt w:val="decimal"/>
      <w:suff w:val="nothing"/>
      <w:lvlText w:val="（%1）"/>
      <w:lvlJc w:val="left"/>
    </w:lvl>
  </w:abstractNum>
  <w:abstractNum w:abstractNumId="3">
    <w:nsid w:val="66F59A68"/>
    <w:multiLevelType w:val="singleLevel"/>
    <w:tmpl w:val="66F59A68"/>
    <w:lvl w:ilvl="0" w:tentative="0">
      <w:start w:val="1"/>
      <w:numFmt w:val="decimal"/>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isplayHorizontalDrawingGridEvery w:val="1"/>
  <w:displayVerticalDrawingGridEvery w:val="1"/>
  <w:noPunctuationKerning w:val="1"/>
  <w:hdrShapeDefaults>
    <o:shapelayout v:ext="edit">
      <o:idmap v:ext="edit" data="3,4"/>
    </o:shapelayout>
  </w:hdrShapeDefaults>
  <w:compat>
    <w:doNotExpandShiftReturn/>
    <w:doNotWrapTextWithPunct/>
    <w:doNotUseEastAsianBreakRules/>
    <w:useFELayout/>
    <w:doNotUseIndentAsNumberingTabStop/>
    <w:splitPgBreakAndParaMark/>
    <w:compatSetting w:name="compatibilityMode" w:uri="http://schemas.microsoft.com/office/word" w:val="12"/>
  </w:compat>
  <w:docVars>
    <w:docVar w:name="commondata" w:val="eyJoZGlkIjoiZmRlYzk3MDk0MzVkYmQ0NWI4MjVmYTUxZTE0NzU0NzUifQ=="/>
  </w:docVars>
  <w:rsids>
    <w:rsidRoot w:val="00000000"/>
    <w:rsid w:val="00612666"/>
    <w:rsid w:val="04B22A53"/>
    <w:rsid w:val="05AC1AAE"/>
    <w:rsid w:val="07523950"/>
    <w:rsid w:val="07FA42FE"/>
    <w:rsid w:val="08060AD8"/>
    <w:rsid w:val="083A1FCA"/>
    <w:rsid w:val="089345F9"/>
    <w:rsid w:val="08F86391"/>
    <w:rsid w:val="09AF06FB"/>
    <w:rsid w:val="0AA27A8E"/>
    <w:rsid w:val="0AE2792E"/>
    <w:rsid w:val="0B493D1E"/>
    <w:rsid w:val="0BAC2598"/>
    <w:rsid w:val="0CA31213"/>
    <w:rsid w:val="0CB72DAF"/>
    <w:rsid w:val="0DF76A50"/>
    <w:rsid w:val="0EB90BA8"/>
    <w:rsid w:val="0FF57857"/>
    <w:rsid w:val="100B31EB"/>
    <w:rsid w:val="105B0B5E"/>
    <w:rsid w:val="10B10F37"/>
    <w:rsid w:val="11C0287C"/>
    <w:rsid w:val="1249782D"/>
    <w:rsid w:val="12617373"/>
    <w:rsid w:val="132832F2"/>
    <w:rsid w:val="13785DFE"/>
    <w:rsid w:val="13D32467"/>
    <w:rsid w:val="145835CB"/>
    <w:rsid w:val="170866C2"/>
    <w:rsid w:val="17227EE5"/>
    <w:rsid w:val="17D7151E"/>
    <w:rsid w:val="191436B8"/>
    <w:rsid w:val="1A6C3C26"/>
    <w:rsid w:val="1ACB25D6"/>
    <w:rsid w:val="1B1A6C5D"/>
    <w:rsid w:val="1BA731AC"/>
    <w:rsid w:val="1C7F01DF"/>
    <w:rsid w:val="1CBC71C1"/>
    <w:rsid w:val="1DEA1E91"/>
    <w:rsid w:val="1EB414DC"/>
    <w:rsid w:val="20224687"/>
    <w:rsid w:val="20C44D94"/>
    <w:rsid w:val="20E66D77"/>
    <w:rsid w:val="210841BA"/>
    <w:rsid w:val="21907509"/>
    <w:rsid w:val="221316E5"/>
    <w:rsid w:val="23FF25CB"/>
    <w:rsid w:val="25937C94"/>
    <w:rsid w:val="26AD082C"/>
    <w:rsid w:val="26BA3865"/>
    <w:rsid w:val="27244339"/>
    <w:rsid w:val="27BE1902"/>
    <w:rsid w:val="285717B4"/>
    <w:rsid w:val="28DF7FBB"/>
    <w:rsid w:val="29604F18"/>
    <w:rsid w:val="29CE23A6"/>
    <w:rsid w:val="2A6B7251"/>
    <w:rsid w:val="2AEA31B8"/>
    <w:rsid w:val="2B2C121A"/>
    <w:rsid w:val="2CA95A34"/>
    <w:rsid w:val="2CF11CCA"/>
    <w:rsid w:val="2D6A5271"/>
    <w:rsid w:val="2D784D9E"/>
    <w:rsid w:val="2E0273E7"/>
    <w:rsid w:val="2E513E10"/>
    <w:rsid w:val="2F1E741A"/>
    <w:rsid w:val="2F9F5845"/>
    <w:rsid w:val="30073BA1"/>
    <w:rsid w:val="30684C9F"/>
    <w:rsid w:val="32622413"/>
    <w:rsid w:val="326E2DE6"/>
    <w:rsid w:val="33AF040E"/>
    <w:rsid w:val="364E4C09"/>
    <w:rsid w:val="36925FC1"/>
    <w:rsid w:val="37BC7885"/>
    <w:rsid w:val="37E02BDC"/>
    <w:rsid w:val="38176283"/>
    <w:rsid w:val="39A53DAB"/>
    <w:rsid w:val="39C04732"/>
    <w:rsid w:val="39DA621A"/>
    <w:rsid w:val="3A3C7FB4"/>
    <w:rsid w:val="3B9F4A08"/>
    <w:rsid w:val="3D073F53"/>
    <w:rsid w:val="3E2833C2"/>
    <w:rsid w:val="3E865B9F"/>
    <w:rsid w:val="3ED90DCE"/>
    <w:rsid w:val="3F934AE5"/>
    <w:rsid w:val="40CB26E9"/>
    <w:rsid w:val="41F34748"/>
    <w:rsid w:val="4208304A"/>
    <w:rsid w:val="4237503C"/>
    <w:rsid w:val="42571C9A"/>
    <w:rsid w:val="44593FA8"/>
    <w:rsid w:val="44C202AB"/>
    <w:rsid w:val="45C74C4C"/>
    <w:rsid w:val="46555C55"/>
    <w:rsid w:val="47142180"/>
    <w:rsid w:val="480B510C"/>
    <w:rsid w:val="480E7150"/>
    <w:rsid w:val="48A06010"/>
    <w:rsid w:val="49141AEA"/>
    <w:rsid w:val="4963540F"/>
    <w:rsid w:val="49CF3A5E"/>
    <w:rsid w:val="4AD07D69"/>
    <w:rsid w:val="4BA25509"/>
    <w:rsid w:val="4BCD3A3F"/>
    <w:rsid w:val="4C3557BD"/>
    <w:rsid w:val="4C3B27FA"/>
    <w:rsid w:val="4CD65FEF"/>
    <w:rsid w:val="4CED3D29"/>
    <w:rsid w:val="4D401AB2"/>
    <w:rsid w:val="4D4E7D9E"/>
    <w:rsid w:val="4E3A49A3"/>
    <w:rsid w:val="4EA95550"/>
    <w:rsid w:val="4EB31CF5"/>
    <w:rsid w:val="4ED10364"/>
    <w:rsid w:val="509A4471"/>
    <w:rsid w:val="51914A35"/>
    <w:rsid w:val="5237032A"/>
    <w:rsid w:val="52634DCA"/>
    <w:rsid w:val="52922798"/>
    <w:rsid w:val="532D1B06"/>
    <w:rsid w:val="537718BF"/>
    <w:rsid w:val="53AA2154"/>
    <w:rsid w:val="54366696"/>
    <w:rsid w:val="55EF2CAA"/>
    <w:rsid w:val="55F57EA1"/>
    <w:rsid w:val="56A919ED"/>
    <w:rsid w:val="56B0073D"/>
    <w:rsid w:val="57D52F63"/>
    <w:rsid w:val="58D72BBB"/>
    <w:rsid w:val="5A2A2A8F"/>
    <w:rsid w:val="5ADE7408"/>
    <w:rsid w:val="5B1B7013"/>
    <w:rsid w:val="5BBE0481"/>
    <w:rsid w:val="5BDD20E9"/>
    <w:rsid w:val="5C2E21C7"/>
    <w:rsid w:val="5D313908"/>
    <w:rsid w:val="5E164AF7"/>
    <w:rsid w:val="5F0F3F0B"/>
    <w:rsid w:val="5F461B54"/>
    <w:rsid w:val="60627374"/>
    <w:rsid w:val="60BD5C09"/>
    <w:rsid w:val="60E940C1"/>
    <w:rsid w:val="61840B64"/>
    <w:rsid w:val="618D2277"/>
    <w:rsid w:val="61A34618"/>
    <w:rsid w:val="61A34870"/>
    <w:rsid w:val="61FD6A41"/>
    <w:rsid w:val="62AF4C74"/>
    <w:rsid w:val="631C357A"/>
    <w:rsid w:val="63521BB3"/>
    <w:rsid w:val="63AC168C"/>
    <w:rsid w:val="63B3658B"/>
    <w:rsid w:val="64816B0F"/>
    <w:rsid w:val="65DB6440"/>
    <w:rsid w:val="65F4315A"/>
    <w:rsid w:val="6698149E"/>
    <w:rsid w:val="66DD009A"/>
    <w:rsid w:val="674702C3"/>
    <w:rsid w:val="67526793"/>
    <w:rsid w:val="67CC4163"/>
    <w:rsid w:val="67EB379A"/>
    <w:rsid w:val="689E4810"/>
    <w:rsid w:val="69580A72"/>
    <w:rsid w:val="6A3B37E4"/>
    <w:rsid w:val="6C49285F"/>
    <w:rsid w:val="6DB34EF6"/>
    <w:rsid w:val="6DC75E5C"/>
    <w:rsid w:val="6E101FDB"/>
    <w:rsid w:val="6E5E4288"/>
    <w:rsid w:val="6E604575"/>
    <w:rsid w:val="6F525B32"/>
    <w:rsid w:val="709019E0"/>
    <w:rsid w:val="72385165"/>
    <w:rsid w:val="72781221"/>
    <w:rsid w:val="729F2451"/>
    <w:rsid w:val="73451821"/>
    <w:rsid w:val="73744D03"/>
    <w:rsid w:val="73C9717C"/>
    <w:rsid w:val="74AB4BE5"/>
    <w:rsid w:val="74DB05EF"/>
    <w:rsid w:val="762A6178"/>
    <w:rsid w:val="77EA0EEB"/>
    <w:rsid w:val="79112A67"/>
    <w:rsid w:val="795429C3"/>
    <w:rsid w:val="796429BD"/>
    <w:rsid w:val="7A5C710B"/>
    <w:rsid w:val="7BD22B10"/>
    <w:rsid w:val="7DCF4AB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sz w:val="21"/>
      <w:szCs w:val="2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Body Text Indent"/>
    <w:basedOn w:val="1"/>
    <w:unhideWhenUsed/>
    <w:qFormat/>
    <w:uiPriority w:val="99"/>
    <w:pPr>
      <w:spacing w:after="120"/>
      <w:ind w:left="420" w:left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paragraph" w:styleId="7">
    <w:name w:val="Body Text First Indent 2"/>
    <w:basedOn w:val="3"/>
    <w:unhideWhenUsed/>
    <w:qFormat/>
    <w:uiPriority w:val="99"/>
    <w:pPr>
      <w:ind w:firstLine="420" w:firstLineChars="200"/>
    </w:pPr>
  </w:style>
  <w:style w:type="character" w:styleId="10">
    <w:name w:val="FollowedHyperlink"/>
    <w:basedOn w:val="9"/>
    <w:qFormat/>
    <w:uiPriority w:val="0"/>
    <w:rPr>
      <w:color w:val="800080"/>
      <w:u w:val="none"/>
    </w:rPr>
  </w:style>
  <w:style w:type="character" w:styleId="11">
    <w:name w:val="Hyperlink"/>
    <w:basedOn w:val="9"/>
    <w:qFormat/>
    <w:uiPriority w:val="0"/>
    <w:rPr>
      <w:color w:val="0000FF"/>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textRotate="1"/>
    <customShpInfo spid="_x0000_s2052"/>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Pages>
  <Words>2707</Words>
  <Characters>2988</Characters>
  <TotalTime>4</TotalTime>
  <ScaleCrop>false</ScaleCrop>
  <LinksUpToDate>false</LinksUpToDate>
  <CharactersWithSpaces>3013</CharactersWithSpaces>
  <Application>WPS Office_11.1.0.12598_F1E327BC-269C-435d-A152-05C5408002CA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2021-09-06T01:06:00Z</dcterms:created>
  <dc:creator>openxml-sdk </dc:creator>
  <dc:description>openxml-sdk, CCi Textin Word Converter, JL</dc:description>
  <cp:keywords>CCi</cp:keywords>
  <cp:lastModifiedBy>安。。然。</cp:lastModifiedBy>
  <cp:lastPrinted>2022-10-27T04:22:00Z</cp:lastPrinted>
  <dcterms:modified xsi:type="dcterms:W3CDTF">2022-12-16T03:38:38Z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DAF16FA5FF934E8FB461CF04897F3220</vt:lpwstr>
  </property>
</Properties>
</file>