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2C" w:rsidRDefault="000800C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9D0A2C" w:rsidRDefault="000800CF" w:rsidP="002B6C0B">
      <w:pPr>
        <w:ind w:firstLineChars="500" w:firstLine="1579"/>
        <w:rPr>
          <w:rFonts w:eastAsia="仿宋_GB2312" w:cs="Times New Roman"/>
          <w:kern w:val="0"/>
          <w:szCs w:val="32"/>
        </w:rPr>
      </w:pPr>
      <w:r>
        <w:rPr>
          <w:rFonts w:eastAsia="仿宋_GB2312" w:cs="Times New Roman"/>
          <w:kern w:val="0"/>
          <w:szCs w:val="32"/>
        </w:rPr>
        <w:t>邵公资</w:t>
      </w:r>
      <w:proofErr w:type="gramStart"/>
      <w:r>
        <w:rPr>
          <w:rFonts w:eastAsia="仿宋_GB2312" w:cs="Times New Roman"/>
          <w:kern w:val="0"/>
          <w:szCs w:val="32"/>
        </w:rPr>
        <w:t>土网</w:t>
      </w:r>
      <w:r>
        <w:rPr>
          <w:rFonts w:eastAsia="仿宋_GB2312" w:cs="Times New Roman" w:hint="eastAsia"/>
          <w:kern w:val="0"/>
          <w:szCs w:val="32"/>
        </w:rPr>
        <w:t>挂</w:t>
      </w:r>
      <w:r>
        <w:rPr>
          <w:rFonts w:eastAsia="仿宋_GB2312" w:cs="Times New Roman"/>
          <w:kern w:val="0"/>
          <w:szCs w:val="32"/>
        </w:rPr>
        <w:t>告</w:t>
      </w:r>
      <w:proofErr w:type="gramEnd"/>
      <w:r>
        <w:rPr>
          <w:rFonts w:eastAsia="仿宋_GB2312" w:cs="Times New Roman"/>
          <w:kern w:val="0"/>
          <w:szCs w:val="32"/>
        </w:rPr>
        <w:t>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Pr>
          <w:rFonts w:eastAsia="仿宋_GB2312" w:cs="Times New Roman" w:hint="eastAsia"/>
          <w:kern w:val="0"/>
          <w:szCs w:val="32"/>
        </w:rPr>
        <w:t xml:space="preserve"> 1 </w:t>
      </w:r>
      <w:r>
        <w:rPr>
          <w:rFonts w:eastAsia="仿宋_GB2312" w:cs="Times New Roman"/>
          <w:kern w:val="0"/>
          <w:szCs w:val="32"/>
        </w:rPr>
        <w:t>号</w:t>
      </w:r>
    </w:p>
    <w:p w:rsidR="009D0A2C" w:rsidRDefault="009D0A2C">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9D0A2C" w:rsidRDefault="000800C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w:t>
      </w:r>
      <w:r>
        <w:rPr>
          <w:rFonts w:ascii="宋体" w:eastAsia="宋体" w:hAnsi="宋体" w:cs="宋体" w:hint="eastAsia"/>
          <w:color w:val="222222"/>
          <w:kern w:val="0"/>
          <w:sz w:val="44"/>
          <w:szCs w:val="44"/>
        </w:rPr>
        <w:t>城步苗族自治县</w:t>
      </w:r>
      <w:r>
        <w:rPr>
          <w:rFonts w:ascii="宋体" w:eastAsia="宋体" w:hAnsi="宋体" w:cs="宋体" w:hint="eastAsia"/>
          <w:color w:val="222222"/>
          <w:kern w:val="0"/>
          <w:sz w:val="44"/>
          <w:szCs w:val="44"/>
        </w:rPr>
        <w:t>国有建设用地使用权</w:t>
      </w:r>
    </w:p>
    <w:p w:rsidR="009D0A2C" w:rsidRDefault="000800C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w:t>
      </w:r>
      <w:r>
        <w:rPr>
          <w:rFonts w:ascii="宋体" w:eastAsia="宋体" w:hAnsi="宋体" w:cs="宋体" w:hint="eastAsia"/>
          <w:color w:val="222222"/>
          <w:kern w:val="0"/>
          <w:sz w:val="44"/>
          <w:szCs w:val="44"/>
        </w:rPr>
        <w:t>出让公告</w:t>
      </w:r>
    </w:p>
    <w:p w:rsidR="009D0A2C" w:rsidRDefault="009D0A2C">
      <w:pPr>
        <w:ind w:firstLineChars="200" w:firstLine="588"/>
        <w:rPr>
          <w:rFonts w:eastAsia="仿宋_GB2312" w:cs="Times New Roman"/>
          <w:spacing w:val="-11"/>
          <w:kern w:val="0"/>
          <w:szCs w:val="32"/>
        </w:rPr>
      </w:pPr>
    </w:p>
    <w:p w:rsidR="009D0A2C" w:rsidRDefault="000800C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w:t>
      </w:r>
      <w:r>
        <w:rPr>
          <w:rFonts w:eastAsia="仿宋_GB2312" w:cs="Times New Roman"/>
          <w:spacing w:val="-11"/>
          <w:kern w:val="0"/>
          <w:szCs w:val="32"/>
        </w:rPr>
        <w:t>交易中心</w:t>
      </w:r>
      <w:r>
        <w:rPr>
          <w:rFonts w:eastAsia="仿宋_GB2312" w:cs="Times New Roman"/>
          <w:spacing w:val="-11"/>
          <w:kern w:val="0"/>
          <w:szCs w:val="32"/>
        </w:rPr>
        <w:t>（</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w:t>
      </w:r>
      <w:r>
        <w:rPr>
          <w:rFonts w:eastAsia="仿宋_GB2312" w:cs="Times New Roman"/>
          <w:spacing w:val="-11"/>
          <w:kern w:val="0"/>
          <w:szCs w:val="32"/>
        </w:rPr>
        <w:t>下列</w:t>
      </w:r>
      <w:r>
        <w:rPr>
          <w:rFonts w:eastAsia="仿宋_GB2312" w:cs="Times New Roman"/>
          <w:spacing w:val="-11"/>
          <w:kern w:val="0"/>
          <w:szCs w:val="32"/>
        </w:rPr>
        <w:t>一</w:t>
      </w:r>
      <w:r>
        <w:rPr>
          <w:rFonts w:eastAsia="仿宋_GB2312" w:cs="Times New Roman"/>
          <w:spacing w:val="-11"/>
          <w:kern w:val="0"/>
          <w:szCs w:val="32"/>
        </w:rPr>
        <w:t>宗</w:t>
      </w:r>
      <w:r>
        <w:rPr>
          <w:rFonts w:eastAsia="仿宋_GB2312" w:cs="Times New Roman"/>
          <w:spacing w:val="-11"/>
          <w:kern w:val="0"/>
          <w:szCs w:val="32"/>
        </w:rPr>
        <w:t>国有建设用地使用权，现将有关事项公告如下：</w:t>
      </w:r>
    </w:p>
    <w:p w:rsidR="009D0A2C" w:rsidRDefault="000800C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9D0A2C" w:rsidRDefault="000800CF" w:rsidP="002B6C0B">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589"/>
        <w:gridCol w:w="1359"/>
        <w:gridCol w:w="996"/>
        <w:gridCol w:w="999"/>
        <w:gridCol w:w="881"/>
        <w:gridCol w:w="1174"/>
        <w:gridCol w:w="1224"/>
      </w:tblGrid>
      <w:tr w:rsidR="009D0A2C">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58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35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996"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9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9D0A2C">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2-652</w:t>
            </w:r>
          </w:p>
        </w:tc>
        <w:tc>
          <w:tcPr>
            <w:tcW w:w="158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proofErr w:type="gramStart"/>
            <w:r>
              <w:rPr>
                <w:rFonts w:eastAsiaTheme="minorEastAsia" w:cs="Times New Roman" w:hint="eastAsia"/>
                <w:spacing w:val="-2"/>
                <w:kern w:val="0"/>
                <w:sz w:val="21"/>
                <w:szCs w:val="21"/>
              </w:rPr>
              <w:t>儒林镇</w:t>
            </w:r>
            <w:proofErr w:type="gramEnd"/>
            <w:r>
              <w:rPr>
                <w:rFonts w:eastAsiaTheme="minorEastAsia" w:cs="Times New Roman" w:hint="eastAsia"/>
                <w:spacing w:val="-2"/>
                <w:kern w:val="0"/>
                <w:sz w:val="21"/>
                <w:szCs w:val="21"/>
              </w:rPr>
              <w:t>双井村民族大道北侧人和路东侧</w:t>
            </w:r>
          </w:p>
        </w:tc>
        <w:tc>
          <w:tcPr>
            <w:tcW w:w="135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3338.56</w:t>
            </w:r>
          </w:p>
        </w:tc>
        <w:tc>
          <w:tcPr>
            <w:tcW w:w="996"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供电用地</w:t>
            </w:r>
          </w:p>
        </w:tc>
        <w:tc>
          <w:tcPr>
            <w:tcW w:w="999"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50</w:t>
            </w:r>
          </w:p>
        </w:tc>
        <w:tc>
          <w:tcPr>
            <w:tcW w:w="881"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270</w:t>
            </w:r>
          </w:p>
        </w:tc>
        <w:tc>
          <w:tcPr>
            <w:tcW w:w="1174"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2</w:t>
            </w:r>
            <w:bookmarkStart w:id="0" w:name="_GoBack"/>
            <w:bookmarkEnd w:id="0"/>
            <w:r>
              <w:rPr>
                <w:rFonts w:eastAsiaTheme="minorEastAsia" w:cs="Times New Roman" w:hint="eastAsia"/>
                <w:b/>
                <w:bCs/>
                <w:color w:val="222222"/>
                <w:kern w:val="0"/>
                <w:sz w:val="21"/>
                <w:szCs w:val="21"/>
              </w:rPr>
              <w:t>70</w:t>
            </w:r>
          </w:p>
        </w:tc>
        <w:tc>
          <w:tcPr>
            <w:tcW w:w="1224" w:type="dxa"/>
            <w:tcBorders>
              <w:tl2br w:val="nil"/>
              <w:tr2bl w:val="nil"/>
            </w:tcBorders>
            <w:shd w:val="clear" w:color="auto" w:fill="auto"/>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9D0A2C" w:rsidRDefault="000800CF" w:rsidP="002B6C0B">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061"/>
        <w:gridCol w:w="855"/>
        <w:gridCol w:w="1080"/>
        <w:gridCol w:w="915"/>
        <w:gridCol w:w="1170"/>
        <w:gridCol w:w="1080"/>
        <w:gridCol w:w="990"/>
        <w:gridCol w:w="1125"/>
        <w:gridCol w:w="1065"/>
      </w:tblGrid>
      <w:tr w:rsidR="009D0A2C">
        <w:trPr>
          <w:cantSplit/>
          <w:trHeight w:val="2229"/>
        </w:trPr>
        <w:tc>
          <w:tcPr>
            <w:tcW w:w="1061"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5"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1080"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投资强度（万元</w:t>
            </w:r>
            <w:r>
              <w:rPr>
                <w:rFonts w:eastAsiaTheme="minorEastAsia" w:cs="Times New Roman" w:hint="eastAsia"/>
                <w:b/>
                <w:bCs/>
                <w:color w:val="222222"/>
                <w:kern w:val="0"/>
                <w:sz w:val="21"/>
                <w:szCs w:val="21"/>
              </w:rPr>
              <w:t>/</w:t>
            </w:r>
            <w:r>
              <w:rPr>
                <w:rFonts w:eastAsiaTheme="minorEastAsia" w:cs="Times New Roman" w:hint="eastAsia"/>
                <w:b/>
                <w:bCs/>
                <w:color w:val="222222"/>
                <w:kern w:val="0"/>
                <w:sz w:val="21"/>
                <w:szCs w:val="21"/>
              </w:rPr>
              <w:t>公顷）</w:t>
            </w:r>
          </w:p>
        </w:tc>
        <w:tc>
          <w:tcPr>
            <w:tcW w:w="1125"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投资总金额</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065" w:type="dxa"/>
            <w:tcBorders>
              <w:top w:val="single" w:sz="12" w:space="0" w:color="000000"/>
            </w:tcBorders>
            <w:tcMar>
              <w:top w:w="0" w:type="dxa"/>
              <w:left w:w="105" w:type="dxa"/>
              <w:bottom w:w="0" w:type="dxa"/>
              <w:right w:w="105" w:type="dxa"/>
            </w:tcMar>
            <w:vAlign w:val="center"/>
          </w:tcPr>
          <w:p w:rsidR="009D0A2C" w:rsidRDefault="000800C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9D0A2C">
        <w:trPr>
          <w:trHeight w:val="1195"/>
        </w:trPr>
        <w:tc>
          <w:tcPr>
            <w:tcW w:w="1061"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2-652</w:t>
            </w:r>
          </w:p>
        </w:tc>
        <w:tc>
          <w:tcPr>
            <w:tcW w:w="855"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Pr>
                <w:rFonts w:ascii="Arial" w:eastAsiaTheme="minorEastAsia" w:hAnsi="Arial" w:cs="Arial" w:hint="eastAsia"/>
                <w:spacing w:val="-2"/>
                <w:kern w:val="0"/>
                <w:sz w:val="21"/>
                <w:szCs w:val="21"/>
              </w:rPr>
              <w:t>＜</w:t>
            </w:r>
            <w:r>
              <w:rPr>
                <w:rFonts w:ascii="Arial" w:eastAsiaTheme="minorEastAsia" w:hAnsi="Arial" w:cs="Arial" w:hint="eastAsia"/>
                <w:spacing w:val="-2"/>
                <w:kern w:val="0"/>
                <w:sz w:val="21"/>
                <w:szCs w:val="21"/>
              </w:rPr>
              <w:t>R</w:t>
            </w: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1.2</w:t>
            </w:r>
          </w:p>
        </w:tc>
        <w:tc>
          <w:tcPr>
            <w:tcW w:w="1080"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30%</w:t>
            </w:r>
          </w:p>
        </w:tc>
        <w:tc>
          <w:tcPr>
            <w:tcW w:w="915"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eastAsiaTheme="minorEastAsia" w:cs="Times New Roman" w:hint="eastAsia"/>
                <w:spacing w:val="-2"/>
                <w:kern w:val="0"/>
                <w:sz w:val="21"/>
                <w:szCs w:val="21"/>
              </w:rPr>
              <w:t>35%</w:t>
            </w:r>
          </w:p>
        </w:tc>
        <w:tc>
          <w:tcPr>
            <w:tcW w:w="1170"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w:t>
            </w:r>
            <w:r>
              <w:rPr>
                <w:rFonts w:ascii="Arial" w:eastAsiaTheme="minorEastAsia" w:hAnsi="Arial" w:cs="Arial" w:hint="eastAsia"/>
                <w:spacing w:val="-2"/>
                <w:kern w:val="0"/>
                <w:sz w:val="21"/>
                <w:szCs w:val="21"/>
              </w:rPr>
              <w:t>12</w:t>
            </w:r>
            <w:r>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w:t>
            </w:r>
          </w:p>
        </w:tc>
        <w:tc>
          <w:tcPr>
            <w:tcW w:w="1125"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9D0A2C" w:rsidRDefault="000800C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9D0A2C" w:rsidRDefault="000800C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w:t>
      </w:r>
      <w:proofErr w:type="gramStart"/>
      <w:r>
        <w:rPr>
          <w:rFonts w:eastAsia="黑体" w:cs="Times New Roman" w:hint="eastAsia"/>
          <w:color w:val="222222"/>
          <w:kern w:val="0"/>
          <w:szCs w:val="32"/>
        </w:rPr>
        <w:t>不</w:t>
      </w:r>
      <w:proofErr w:type="gramEnd"/>
      <w:r>
        <w:rPr>
          <w:rFonts w:eastAsia="黑体" w:cs="Times New Roman" w:hint="eastAsia"/>
          <w:color w:val="222222"/>
          <w:kern w:val="0"/>
          <w:szCs w:val="32"/>
        </w:rPr>
        <w:t>另设置底价，挂牌起始价视同为底价。</w:t>
      </w:r>
    </w:p>
    <w:p w:rsidR="009D0A2C" w:rsidRDefault="000800C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9D0A2C" w:rsidRDefault="000800C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出让人</w:t>
      </w:r>
      <w:r>
        <w:rPr>
          <w:rFonts w:eastAsia="仿宋_GB2312" w:cs="Times New Roman"/>
          <w:kern w:val="0"/>
          <w:szCs w:val="32"/>
        </w:rPr>
        <w:t>地址：</w:t>
      </w:r>
      <w:r w:rsidRPr="002B6C0B">
        <w:rPr>
          <w:rFonts w:eastAsia="仿宋_GB2312" w:cs="Times New Roman" w:hint="eastAsia"/>
          <w:kern w:val="0"/>
          <w:szCs w:val="32"/>
          <w:u w:val="single"/>
        </w:rPr>
        <w:t>城步苗族自治县</w:t>
      </w:r>
      <w:proofErr w:type="gramStart"/>
      <w:r w:rsidRPr="002B6C0B">
        <w:rPr>
          <w:rFonts w:eastAsia="仿宋_GB2312" w:cs="Times New Roman" w:hint="eastAsia"/>
          <w:kern w:val="0"/>
          <w:szCs w:val="32"/>
          <w:u w:val="single"/>
        </w:rPr>
        <w:t>儒林镇</w:t>
      </w:r>
      <w:proofErr w:type="gramEnd"/>
      <w:r w:rsidRPr="002B6C0B">
        <w:rPr>
          <w:rFonts w:eastAsia="仿宋_GB2312" w:cs="Times New Roman" w:hint="eastAsia"/>
          <w:kern w:val="0"/>
          <w:szCs w:val="32"/>
          <w:u w:val="single"/>
        </w:rPr>
        <w:t>新田路</w:t>
      </w:r>
      <w:r w:rsidRPr="002B6C0B">
        <w:rPr>
          <w:rFonts w:eastAsia="仿宋_GB2312" w:cs="Times New Roman" w:hint="eastAsia"/>
          <w:kern w:val="0"/>
          <w:szCs w:val="32"/>
          <w:u w:val="single"/>
        </w:rPr>
        <w:t>98</w:t>
      </w:r>
      <w:r w:rsidRPr="002B6C0B">
        <w:rPr>
          <w:rFonts w:eastAsia="仿宋_GB2312" w:cs="Times New Roman" w:hint="eastAsia"/>
          <w:kern w:val="0"/>
          <w:szCs w:val="32"/>
          <w:u w:val="single"/>
        </w:rPr>
        <w:t>号</w:t>
      </w:r>
    </w:p>
    <w:p w:rsidR="009D0A2C" w:rsidRDefault="000800C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9D0A2C" w:rsidRPr="002B6C0B" w:rsidRDefault="000800C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2B6C0B">
        <w:rPr>
          <w:rFonts w:eastAsia="仿宋_GB2312" w:cs="Times New Roman"/>
          <w:kern w:val="0"/>
          <w:szCs w:val="32"/>
          <w:u w:val="single"/>
        </w:rPr>
        <w:t>邵阳市</w:t>
      </w:r>
      <w:proofErr w:type="gramStart"/>
      <w:r w:rsidRPr="002B6C0B">
        <w:rPr>
          <w:rFonts w:eastAsia="仿宋_GB2312" w:cs="Times New Roman"/>
          <w:kern w:val="0"/>
          <w:szCs w:val="32"/>
          <w:u w:val="single"/>
        </w:rPr>
        <w:t>双清区邵阳</w:t>
      </w:r>
      <w:proofErr w:type="gramEnd"/>
      <w:r w:rsidRPr="002B6C0B">
        <w:rPr>
          <w:rFonts w:eastAsia="仿宋_GB2312" w:cs="Times New Roman"/>
          <w:kern w:val="0"/>
          <w:szCs w:val="32"/>
          <w:u w:val="single"/>
        </w:rPr>
        <w:t>大道市行政中心附楼</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9D0A2C" w:rsidRDefault="000800C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w:t>
      </w:r>
      <w:proofErr w:type="gramStart"/>
      <w:r>
        <w:rPr>
          <w:rFonts w:eastAsia="仿宋_GB2312" w:cs="Times New Roman"/>
          <w:kern w:val="0"/>
          <w:szCs w:val="32"/>
        </w:rPr>
        <w:t>囤地炒地</w:t>
      </w:r>
      <w:proofErr w:type="gramEnd"/>
      <w:r>
        <w:rPr>
          <w:rFonts w:eastAsia="仿宋_GB2312" w:cs="Times New Roman"/>
          <w:kern w:val="0"/>
          <w:szCs w:val="32"/>
        </w:rPr>
        <w:t>、土地开发规模超过实际开发能力以及不履行土地使用权出让合同的</w:t>
      </w:r>
      <w:r>
        <w:rPr>
          <w:rFonts w:eastAsia="仿宋_GB2312" w:cs="Times New Roman"/>
          <w:kern w:val="0"/>
          <w:szCs w:val="32"/>
        </w:rPr>
        <w:t>、失信被执行人及失信被执行人的法定代表人、主要负责人、实际控制人、影响债务履行的直接责任人员</w:t>
      </w:r>
      <w:r>
        <w:rPr>
          <w:rFonts w:eastAsia="仿宋_GB2312" w:cs="Times New Roman"/>
          <w:kern w:val="0"/>
          <w:szCs w:val="32"/>
        </w:rPr>
        <w:t>和法律法规另有规定的除外。</w:t>
      </w:r>
    </w:p>
    <w:p w:rsidR="009D0A2C" w:rsidRDefault="000800C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9D0A2C" w:rsidRDefault="000800C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9D0A2C" w:rsidRDefault="000800C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9D0A2C" w:rsidRDefault="000800C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9D0A2C" w:rsidRDefault="000800CF" w:rsidP="002B6C0B">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9D0A2C" w:rsidRDefault="000800CF" w:rsidP="002B6C0B">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 xml:space="preserve">    11</w:t>
      </w:r>
      <w:r>
        <w:rPr>
          <w:rFonts w:eastAsia="仿宋_GB2312" w:cs="Times New Roman"/>
          <w:spacing w:val="-11"/>
          <w:kern w:val="0"/>
          <w:szCs w:val="32"/>
          <w:u w:val="single"/>
        </w:rPr>
        <w:t>月</w:t>
      </w:r>
      <w:r>
        <w:rPr>
          <w:rFonts w:eastAsia="仿宋_GB2312" w:cs="Times New Roman" w:hint="eastAsia"/>
          <w:spacing w:val="-11"/>
          <w:kern w:val="0"/>
          <w:szCs w:val="32"/>
          <w:u w:val="single"/>
        </w:rPr>
        <w:t>3</w:t>
      </w:r>
      <w:r>
        <w:rPr>
          <w:rFonts w:eastAsia="仿宋_GB2312" w:cs="Times New Roman"/>
          <w:spacing w:val="-11"/>
          <w:kern w:val="0"/>
          <w:szCs w:val="32"/>
          <w:u w:val="single"/>
        </w:rPr>
        <w:t>日</w:t>
      </w:r>
      <w:r>
        <w:rPr>
          <w:rFonts w:eastAsia="仿宋_GB2312" w:cs="Times New Roman" w:hint="eastAsia"/>
          <w:spacing w:val="-11"/>
          <w:kern w:val="0"/>
          <w:szCs w:val="32"/>
          <w:u w:val="single"/>
        </w:rPr>
        <w:t>16</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9D0A2C" w:rsidRDefault="000800CF" w:rsidP="002B6C0B">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Pr>
          <w:rFonts w:eastAsia="仿宋_GB2312" w:cs="Times New Roman" w:hint="eastAsia"/>
          <w:spacing w:val="-11"/>
          <w:kern w:val="0"/>
          <w:szCs w:val="32"/>
          <w:u w:val="single"/>
        </w:rPr>
        <w:t>2</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9D0A2C" w:rsidRDefault="000800CF" w:rsidP="002B6C0B">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9D0A2C" w:rsidRDefault="000800C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w:t>
      </w:r>
      <w:r>
        <w:rPr>
          <w:rFonts w:eastAsia="仿宋_GB2312" w:cs="Times New Roman"/>
          <w:kern w:val="0"/>
          <w:szCs w:val="32"/>
        </w:rPr>
        <w:t>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w:t>
      </w:r>
      <w:proofErr w:type="gramStart"/>
      <w:r>
        <w:rPr>
          <w:rFonts w:eastAsia="仿宋_GB2312" w:cs="Times New Roman"/>
          <w:kern w:val="0"/>
          <w:szCs w:val="32"/>
        </w:rPr>
        <w:t>码通过</w:t>
      </w:r>
      <w:proofErr w:type="gramEnd"/>
      <w:r>
        <w:rPr>
          <w:rFonts w:eastAsia="仿宋_GB2312" w:cs="Times New Roman"/>
          <w:kern w:val="0"/>
          <w:szCs w:val="32"/>
        </w:rPr>
        <w:t>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w:t>
      </w:r>
      <w:r>
        <w:rPr>
          <w:rFonts w:eastAsia="仿宋_GB2312" w:cs="Times New Roman" w:hint="eastAsia"/>
          <w:kern w:val="0"/>
          <w:szCs w:val="32"/>
        </w:rPr>
        <w:t>竞买保证金</w:t>
      </w:r>
      <w:r>
        <w:rPr>
          <w:rFonts w:eastAsia="仿宋_GB2312" w:cs="Times New Roman" w:hint="eastAsia"/>
          <w:kern w:val="0"/>
          <w:szCs w:val="32"/>
        </w:rPr>
        <w:t>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w:t>
      </w:r>
      <w:r>
        <w:rPr>
          <w:rFonts w:eastAsia="仿宋_GB2312" w:cs="Times New Roman" w:hint="eastAsia"/>
          <w:kern w:val="0"/>
          <w:szCs w:val="32"/>
        </w:rPr>
        <w:t>要出价”按钮进行报价</w:t>
      </w:r>
      <w:r>
        <w:rPr>
          <w:rFonts w:eastAsia="仿宋_GB2312" w:cs="Times New Roman"/>
          <w:kern w:val="0"/>
          <w:szCs w:val="32"/>
        </w:rPr>
        <w:t>。</w:t>
      </w:r>
    </w:p>
    <w:p w:rsidR="009D0A2C" w:rsidRDefault="000800C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9D0A2C" w:rsidRDefault="000800C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w:t>
      </w:r>
      <w:proofErr w:type="gramStart"/>
      <w:r>
        <w:rPr>
          <w:rFonts w:eastAsia="仿宋_GB2312" w:cs="Times New Roman"/>
          <w:kern w:val="0"/>
          <w:szCs w:val="32"/>
        </w:rPr>
        <w:t>按照宗</w:t>
      </w:r>
      <w:proofErr w:type="gramEnd"/>
      <w:r>
        <w:rPr>
          <w:rFonts w:eastAsia="仿宋_GB2312" w:cs="Times New Roman"/>
          <w:kern w:val="0"/>
          <w:szCs w:val="32"/>
        </w:rPr>
        <w:t>地规</w:t>
      </w:r>
      <w:r>
        <w:rPr>
          <w:rFonts w:eastAsia="仿宋_GB2312" w:cs="Times New Roman"/>
          <w:kern w:val="0"/>
          <w:szCs w:val="32"/>
        </w:rPr>
        <w:lastRenderedPageBreak/>
        <w:t>划要求实施。</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9D0A2C" w:rsidRDefault="000800C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9D0A2C" w:rsidRDefault="000800C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w:t>
      </w:r>
      <w:proofErr w:type="gramStart"/>
      <w:r>
        <w:rPr>
          <w:rFonts w:eastAsia="仿宋_GB2312" w:cs="Times New Roman" w:hint="eastAsia"/>
          <w:color w:val="000000"/>
          <w:kern w:val="0"/>
          <w:szCs w:val="32"/>
        </w:rPr>
        <w:t>使用</w:t>
      </w:r>
      <w:r>
        <w:rPr>
          <w:rFonts w:eastAsia="仿宋_GB2312" w:cs="Times New Roman"/>
          <w:color w:val="000000"/>
          <w:kern w:val="0"/>
          <w:szCs w:val="32"/>
        </w:rPr>
        <w:t>谷歌浏览器</w:t>
      </w:r>
      <w:proofErr w:type="gramEnd"/>
      <w:r>
        <w:rPr>
          <w:rFonts w:eastAsia="仿宋_GB2312" w:cs="Times New Roman"/>
          <w:color w:val="000000"/>
          <w:kern w:val="0"/>
          <w:szCs w:val="32"/>
        </w:rPr>
        <w:t>，并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9D0A2C" w:rsidRDefault="000800C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9D0A2C" w:rsidRDefault="000800C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9D0A2C" w:rsidRDefault="000800C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w:t>
      </w:r>
      <w:r>
        <w:rPr>
          <w:rFonts w:eastAsia="仿宋_GB2312" w:cs="Times New Roman" w:hint="eastAsia"/>
          <w:color w:val="000000"/>
          <w:kern w:val="0"/>
          <w:szCs w:val="32"/>
        </w:rPr>
        <w:t>竞买保证金</w:t>
      </w:r>
      <w:r>
        <w:rPr>
          <w:rFonts w:eastAsia="仿宋_GB2312" w:cs="Times New Roman" w:hint="eastAsia"/>
          <w:color w:val="000000"/>
          <w:kern w:val="0"/>
          <w:szCs w:val="32"/>
        </w:rPr>
        <w:t>并激活以取得竞买资格，否则不能在网上出价。</w:t>
      </w:r>
    </w:p>
    <w:p w:rsidR="009D0A2C" w:rsidRDefault="000800C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w:t>
      </w:r>
      <w:proofErr w:type="gramStart"/>
      <w:r>
        <w:rPr>
          <w:rFonts w:eastAsia="仿宋_GB2312" w:cs="Times New Roman" w:hint="eastAsia"/>
          <w:kern w:val="0"/>
          <w:szCs w:val="32"/>
        </w:rPr>
        <w:t>由竞得</w:t>
      </w:r>
      <w:proofErr w:type="gramEnd"/>
      <w:r>
        <w:rPr>
          <w:rFonts w:eastAsia="仿宋_GB2312" w:cs="Times New Roman" w:hint="eastAsia"/>
          <w:kern w:val="0"/>
          <w:szCs w:val="32"/>
        </w:rPr>
        <w:t>人自行完成并承担所有工程费用，竞得人在开发建设过程中除土地权属外所有</w:t>
      </w:r>
      <w:proofErr w:type="gramStart"/>
      <w:r>
        <w:rPr>
          <w:rFonts w:eastAsia="仿宋_GB2312" w:cs="Times New Roman" w:hint="eastAsia"/>
          <w:kern w:val="0"/>
          <w:szCs w:val="32"/>
        </w:rPr>
        <w:t>矛盾由竞得</w:t>
      </w:r>
      <w:proofErr w:type="gramEnd"/>
      <w:r>
        <w:rPr>
          <w:rFonts w:eastAsia="仿宋_GB2312" w:cs="Times New Roman" w:hint="eastAsia"/>
          <w:kern w:val="0"/>
          <w:szCs w:val="32"/>
        </w:rPr>
        <w:t>人自行协调解决并承担所有费用。</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9D0A2C" w:rsidRDefault="000800C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9D0A2C" w:rsidRDefault="000800C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9D0A2C" w:rsidRDefault="000800C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w:t>
      </w:r>
      <w:r>
        <w:rPr>
          <w:rFonts w:eastAsia="仿宋_GB2312" w:cs="Times New Roman" w:hint="eastAsia"/>
          <w:kern w:val="0"/>
          <w:szCs w:val="32"/>
        </w:rPr>
        <w:t>0739-7361694</w:t>
      </w:r>
      <w:r>
        <w:rPr>
          <w:rFonts w:eastAsia="仿宋_GB2312" w:cs="Times New Roman" w:hint="eastAsia"/>
          <w:kern w:val="0"/>
          <w:szCs w:val="32"/>
        </w:rPr>
        <w:t>（</w:t>
      </w:r>
      <w:r>
        <w:rPr>
          <w:rFonts w:eastAsia="仿宋_GB2312" w:cs="Times New Roman" w:hint="eastAsia"/>
          <w:kern w:val="0"/>
          <w:szCs w:val="32"/>
        </w:rPr>
        <w:t>城步苗族自治县自然资源局）</w:t>
      </w:r>
    </w:p>
    <w:p w:rsidR="009D0A2C" w:rsidRDefault="000800C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9D0A2C" w:rsidRDefault="000800C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9D0A2C" w:rsidRDefault="009D0A2C">
      <w:pPr>
        <w:rPr>
          <w:rFonts w:eastAsia="黑体" w:cs="Times New Roman"/>
          <w:color w:val="222222"/>
          <w:kern w:val="0"/>
          <w:szCs w:val="32"/>
        </w:rPr>
      </w:pPr>
    </w:p>
    <w:p w:rsidR="009D0A2C" w:rsidRDefault="009D0A2C">
      <w:pPr>
        <w:tabs>
          <w:tab w:val="left" w:pos="4340"/>
          <w:tab w:val="right" w:pos="8051"/>
        </w:tabs>
        <w:spacing w:after="158"/>
        <w:rPr>
          <w:rFonts w:eastAsia="方正小标宋简体" w:cs="Times New Roman"/>
          <w:color w:val="00B0F0"/>
          <w:kern w:val="0"/>
          <w:szCs w:val="44"/>
          <w:u w:val="single"/>
        </w:rPr>
      </w:pPr>
    </w:p>
    <w:p w:rsidR="009D0A2C" w:rsidRDefault="009D0A2C">
      <w:pPr>
        <w:tabs>
          <w:tab w:val="left" w:pos="4340"/>
          <w:tab w:val="right" w:pos="8051"/>
        </w:tabs>
        <w:spacing w:after="158"/>
        <w:rPr>
          <w:rFonts w:eastAsia="方正小标宋简体" w:cs="Times New Roman"/>
          <w:color w:val="00B0F0"/>
          <w:kern w:val="0"/>
          <w:szCs w:val="44"/>
          <w:u w:val="single"/>
        </w:rPr>
      </w:pPr>
    </w:p>
    <w:p w:rsidR="009D0A2C" w:rsidRDefault="000800CF">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9D0A2C" w:rsidRDefault="000800C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9D0A2C" w:rsidRDefault="000800CF" w:rsidP="009D0A2C">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2020</w:t>
      </w:r>
      <w:r>
        <w:rPr>
          <w:rFonts w:eastAsia="仿宋_GB2312" w:cs="Times New Roman" w:hint="eastAsia"/>
          <w:color w:val="222222"/>
          <w:kern w:val="0"/>
          <w:szCs w:val="32"/>
          <w:shd w:val="clear" w:color="auto" w:fill="FFFFFF"/>
        </w:rPr>
        <w:t xml:space="preserve">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9D0A2C" w:rsidSect="009D0A2C">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0CF" w:rsidRDefault="000800CF" w:rsidP="009D0A2C">
      <w:r>
        <w:separator/>
      </w:r>
    </w:p>
  </w:endnote>
  <w:endnote w:type="continuationSeparator" w:id="0">
    <w:p w:rsidR="000800CF" w:rsidRDefault="000800CF" w:rsidP="009D0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2C" w:rsidRDefault="009D0A2C">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9D0A2C" w:rsidRDefault="009D0A2C">
                <w:pPr>
                  <w:pStyle w:val="a3"/>
                </w:pPr>
                <w:r>
                  <w:rPr>
                    <w:rFonts w:hint="eastAsia"/>
                  </w:rPr>
                  <w:fldChar w:fldCharType="begin"/>
                </w:r>
                <w:r w:rsidR="000800CF">
                  <w:rPr>
                    <w:rFonts w:hint="eastAsia"/>
                  </w:rPr>
                  <w:instrText xml:space="preserve"> PAGE  \* MERGEFORMAT </w:instrText>
                </w:r>
                <w:r>
                  <w:rPr>
                    <w:rFonts w:hint="eastAsia"/>
                  </w:rPr>
                  <w:fldChar w:fldCharType="separate"/>
                </w:r>
                <w:r w:rsidR="002B6C0B">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0CF" w:rsidRDefault="000800CF" w:rsidP="009D0A2C">
      <w:r>
        <w:separator/>
      </w:r>
    </w:p>
  </w:footnote>
  <w:footnote w:type="continuationSeparator" w:id="0">
    <w:p w:rsidR="000800CF" w:rsidRDefault="000800CF" w:rsidP="009D0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158"/>
  <w:drawingGridVerticalSpacing w:val="290"/>
  <w:noPunctuationKerning/>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800CF"/>
    <w:rsid w:val="002B6C0B"/>
    <w:rsid w:val="003808AE"/>
    <w:rsid w:val="003A1FC6"/>
    <w:rsid w:val="00482CA9"/>
    <w:rsid w:val="00673D23"/>
    <w:rsid w:val="0069078B"/>
    <w:rsid w:val="008817C8"/>
    <w:rsid w:val="008D479F"/>
    <w:rsid w:val="009D0A2C"/>
    <w:rsid w:val="00BC1E42"/>
    <w:rsid w:val="00BF3241"/>
    <w:rsid w:val="00C1547A"/>
    <w:rsid w:val="00CE6BA1"/>
    <w:rsid w:val="00D4407E"/>
    <w:rsid w:val="00DD4643"/>
    <w:rsid w:val="00EA5F27"/>
    <w:rsid w:val="00FE3520"/>
    <w:rsid w:val="01325891"/>
    <w:rsid w:val="020830FB"/>
    <w:rsid w:val="0230077C"/>
    <w:rsid w:val="02967072"/>
    <w:rsid w:val="031674CE"/>
    <w:rsid w:val="03823F73"/>
    <w:rsid w:val="03C33D33"/>
    <w:rsid w:val="03DF7361"/>
    <w:rsid w:val="04650672"/>
    <w:rsid w:val="04B415C1"/>
    <w:rsid w:val="05583D48"/>
    <w:rsid w:val="069D20E4"/>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2C"/>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9D0A2C"/>
    <w:pPr>
      <w:tabs>
        <w:tab w:val="center" w:pos="4153"/>
        <w:tab w:val="right" w:pos="8306"/>
      </w:tabs>
      <w:snapToGrid w:val="0"/>
      <w:jc w:val="left"/>
    </w:pPr>
    <w:rPr>
      <w:sz w:val="18"/>
    </w:rPr>
  </w:style>
  <w:style w:type="paragraph" w:styleId="a4">
    <w:name w:val="header"/>
    <w:basedOn w:val="a"/>
    <w:uiPriority w:val="99"/>
    <w:semiHidden/>
    <w:unhideWhenUsed/>
    <w:qFormat/>
    <w:rsid w:val="009D0A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9D0A2C"/>
    <w:pPr>
      <w:widowControl/>
      <w:spacing w:after="158"/>
      <w:jc w:val="left"/>
    </w:pPr>
    <w:rPr>
      <w:rFonts w:ascii="宋体" w:eastAsia="宋体" w:hAnsi="宋体" w:cs="宋体"/>
      <w:kern w:val="0"/>
      <w:sz w:val="24"/>
      <w:szCs w:val="24"/>
    </w:rPr>
  </w:style>
  <w:style w:type="character" w:styleId="a6">
    <w:name w:val="Strong"/>
    <w:basedOn w:val="a0"/>
    <w:uiPriority w:val="22"/>
    <w:qFormat/>
    <w:rsid w:val="009D0A2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Words>
  <Characters>2300</Characters>
  <Application>Microsoft Office Word</Application>
  <DocSecurity>0</DocSecurity>
  <Lines>19</Lines>
  <Paragraphs>5</Paragraphs>
  <ScaleCrop>false</ScaleCrop>
  <Company>Microsoft</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2020-09-27T03:33:00Z</cp:lastPrinted>
  <dcterms:created xsi:type="dcterms:W3CDTF">2017-10-09T03:23:00Z</dcterms:created>
  <dcterms:modified xsi:type="dcterms:W3CDTF">2020-10-10T02:11:00Z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