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widowControl/>
        <w:tabs>
          <w:tab w:val="left" w:pos="2203"/>
          <w:tab w:val="left" w:pos="4145"/>
          <w:tab w:val="left" w:pos="5718"/>
          <w:tab w:val="left" w:pos="6938"/>
          <w:tab w:val="left" w:pos="8139"/>
        </w:tabs>
        <w:spacing w:line="600" w:lineRule="exact"/>
        <w:jc w:val="center"/>
        <w:rPr>
          <w:rFonts w:hint="eastAsia" w:ascii="宋体" w:hAnsi="宋体" w:cs="宋体"/>
          <w:kern w:val="0"/>
          <w:sz w:val="18"/>
          <w:szCs w:val="18"/>
        </w:rPr>
      </w:pPr>
      <w:r>
        <w:rPr>
          <w:rFonts w:hint="eastAsia" w:ascii="黑体" w:hAnsi="黑体" w:eastAsia="黑体" w:cs="宋体"/>
          <w:kern w:val="0"/>
          <w:sz w:val="28"/>
          <w:szCs w:val="28"/>
          <w:lang w:val="en-US" w:eastAsia="zh-CN"/>
        </w:rPr>
        <w:t>2017</w:t>
      </w:r>
      <w:r>
        <w:rPr>
          <w:rFonts w:hint="eastAsia" w:ascii="黑体" w:hAnsi="黑体" w:eastAsia="黑体" w:cs="宋体"/>
          <w:kern w:val="0"/>
          <w:sz w:val="28"/>
          <w:szCs w:val="28"/>
        </w:rPr>
        <w:t>年部门整体支出绩效目标指标申报表</w:t>
      </w:r>
    </w:p>
    <w:p>
      <w:pPr>
        <w:widowControl/>
        <w:tabs>
          <w:tab w:val="left" w:pos="2203"/>
          <w:tab w:val="left" w:pos="4145"/>
          <w:tab w:val="left" w:pos="5718"/>
          <w:tab w:val="left" w:pos="6938"/>
          <w:tab w:val="left" w:pos="8139"/>
        </w:tabs>
        <w:spacing w:line="600" w:lineRule="exact"/>
        <w:jc w:val="left"/>
        <w:rPr>
          <w:rFonts w:hint="eastAsia" w:ascii="黑体" w:hAnsi="黑体" w:eastAsia="黑体" w:cs="宋体"/>
          <w:kern w:val="0"/>
          <w:sz w:val="21"/>
          <w:szCs w:val="21"/>
        </w:rPr>
      </w:pPr>
      <w:r>
        <w:rPr>
          <w:rFonts w:hint="eastAsia" w:ascii="宋体" w:hAnsi="宋体" w:cs="宋体"/>
          <w:kern w:val="0"/>
          <w:sz w:val="21"/>
          <w:szCs w:val="21"/>
        </w:rPr>
        <w:t>填报单位（盖章）</w:t>
      </w:r>
    </w:p>
    <w:tbl>
      <w:tblPr>
        <w:tblStyle w:val="9"/>
        <w:tblW w:w="9260"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60"/>
        <w:gridCol w:w="3680"/>
        <w:gridCol w:w="39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atLeast"/>
        </w:trPr>
        <w:tc>
          <w:tcPr>
            <w:tcW w:w="1660" w:type="dxa"/>
            <w:vAlign w:val="center"/>
          </w:tcPr>
          <w:p>
            <w:pPr>
              <w:widowControl/>
              <w:jc w:val="center"/>
              <w:rPr>
                <w:rFonts w:ascii="宋体" w:cs="宋体"/>
                <w:kern w:val="0"/>
                <w:sz w:val="18"/>
                <w:szCs w:val="18"/>
              </w:rPr>
            </w:pPr>
            <w:r>
              <w:rPr>
                <w:rFonts w:hint="eastAsia" w:ascii="宋体" w:hAnsi="宋体" w:cs="宋体"/>
                <w:kern w:val="0"/>
                <w:sz w:val="18"/>
                <w:szCs w:val="18"/>
              </w:rPr>
              <w:t>部门名称</w:t>
            </w:r>
          </w:p>
        </w:tc>
        <w:tc>
          <w:tcPr>
            <w:tcW w:w="7600" w:type="dxa"/>
            <w:gridSpan w:val="2"/>
            <w:vAlign w:val="bottom"/>
          </w:tcPr>
          <w:p>
            <w:pPr>
              <w:widowControl/>
              <w:jc w:val="left"/>
              <w:rPr>
                <w:rFonts w:ascii="宋体" w:cs="宋体"/>
                <w:kern w:val="0"/>
                <w:sz w:val="18"/>
                <w:szCs w:val="18"/>
              </w:rPr>
            </w:pPr>
            <w:r>
              <w:rPr>
                <w:rFonts w:hint="eastAsia" w:ascii="宋体" w:hAnsi="宋体" w:cs="宋体"/>
                <w:kern w:val="0"/>
                <w:sz w:val="21"/>
                <w:szCs w:val="21"/>
                <w:lang w:eastAsia="zh-CN"/>
              </w:rPr>
              <w:t>城步苗族自治县城乡居民社会养老保险管理站</w:t>
            </w:r>
            <w:r>
              <w:rPr>
                <w:rFonts w:hint="eastAsia" w:ascii="宋体" w:hAnsi="宋体" w:cs="宋体"/>
                <w:kern w:val="0"/>
                <w:sz w:val="21"/>
                <w:szCs w:val="21"/>
              </w:rPr>
              <w:t>　</w:t>
            </w:r>
            <w:r>
              <w:rPr>
                <w:rFonts w:hint="eastAsia" w:ascii="宋体" w:hAnsi="宋体" w:cs="宋体"/>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restart"/>
            <w:vAlign w:val="center"/>
          </w:tcPr>
          <w:p>
            <w:pPr>
              <w:widowControl/>
              <w:jc w:val="center"/>
              <w:rPr>
                <w:rFonts w:ascii="宋体" w:cs="宋体"/>
                <w:kern w:val="0"/>
                <w:sz w:val="18"/>
                <w:szCs w:val="18"/>
              </w:rPr>
            </w:pPr>
            <w:r>
              <w:rPr>
                <w:rFonts w:hint="eastAsia" w:ascii="宋体" w:hAnsi="宋体" w:cs="宋体"/>
                <w:kern w:val="0"/>
                <w:sz w:val="18"/>
                <w:szCs w:val="18"/>
              </w:rPr>
              <w:t>年度预算申请（万元）</w:t>
            </w:r>
          </w:p>
        </w:tc>
        <w:tc>
          <w:tcPr>
            <w:tcW w:w="3680" w:type="dxa"/>
            <w:vAlign w:val="bottom"/>
          </w:tcPr>
          <w:p>
            <w:pPr>
              <w:widowControl/>
              <w:jc w:val="left"/>
              <w:rPr>
                <w:rFonts w:ascii="宋体" w:cs="宋体"/>
                <w:kern w:val="0"/>
                <w:sz w:val="18"/>
                <w:szCs w:val="18"/>
              </w:rPr>
            </w:pPr>
            <w:r>
              <w:rPr>
                <w:rFonts w:hint="eastAsia" w:ascii="宋体" w:hAnsi="宋体" w:cs="宋体"/>
                <w:kern w:val="0"/>
                <w:sz w:val="18"/>
                <w:szCs w:val="18"/>
              </w:rPr>
              <w:t>资金总额：</w:t>
            </w:r>
            <w:r>
              <w:rPr>
                <w:rFonts w:hint="eastAsia" w:ascii="宋体" w:hAnsi="宋体" w:cs="宋体"/>
                <w:kern w:val="0"/>
                <w:sz w:val="18"/>
                <w:szCs w:val="18"/>
                <w:lang w:val="en-US" w:eastAsia="zh-CN"/>
              </w:rPr>
              <w:t>3507.16</w:t>
            </w: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Align w:val="bottom"/>
          </w:tcPr>
          <w:p>
            <w:pPr>
              <w:widowControl/>
              <w:jc w:val="left"/>
              <w:rPr>
                <w:rFonts w:ascii="宋体" w:cs="宋体"/>
                <w:kern w:val="0"/>
                <w:sz w:val="18"/>
                <w:szCs w:val="18"/>
              </w:rPr>
            </w:pPr>
            <w:r>
              <w:rPr>
                <w:rFonts w:hint="eastAsia" w:ascii="宋体" w:hAnsi="宋体" w:cs="宋体"/>
                <w:kern w:val="0"/>
                <w:sz w:val="18"/>
                <w:szCs w:val="18"/>
              </w:rPr>
              <w:t>按收入性质分：</w:t>
            </w:r>
            <w:r>
              <w:rPr>
                <w:rFonts w:hint="eastAsia" w:ascii="宋体" w:hAnsi="宋体" w:cs="宋体"/>
                <w:kern w:val="0"/>
                <w:sz w:val="18"/>
                <w:szCs w:val="18"/>
                <w:lang w:val="en-US" w:eastAsia="zh-CN"/>
              </w:rPr>
              <w:t>3507.16</w:t>
            </w: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按支出性质分：</w:t>
            </w:r>
            <w:r>
              <w:rPr>
                <w:rFonts w:hint="eastAsia" w:ascii="宋体" w:hAnsi="宋体" w:cs="宋体"/>
                <w:kern w:val="0"/>
                <w:sz w:val="18"/>
                <w:szCs w:val="18"/>
                <w:lang w:val="en-US" w:eastAsia="zh-CN"/>
              </w:rPr>
              <w:t>3507.16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Align w:val="bottom"/>
          </w:tcPr>
          <w:p>
            <w:pPr>
              <w:widowControl/>
              <w:jc w:val="left"/>
              <w:rPr>
                <w:rFonts w:ascii="宋体" w:cs="宋体"/>
                <w:kern w:val="0"/>
                <w:sz w:val="18"/>
                <w:szCs w:val="18"/>
              </w:rPr>
            </w:pPr>
            <w:r>
              <w:rPr>
                <w:rFonts w:hint="eastAsia" w:ascii="宋体" w:hAnsi="宋体" w:cs="宋体"/>
                <w:kern w:val="0"/>
                <w:sz w:val="18"/>
                <w:szCs w:val="18"/>
              </w:rPr>
              <w:t>其中：公共财政拨款：</w:t>
            </w:r>
            <w:r>
              <w:rPr>
                <w:rFonts w:hint="eastAsia" w:ascii="宋体" w:hAnsi="宋体" w:cs="宋体"/>
                <w:kern w:val="0"/>
                <w:sz w:val="18"/>
                <w:szCs w:val="18"/>
                <w:lang w:val="en-US" w:eastAsia="zh-CN"/>
              </w:rPr>
              <w:t>64.16</w:t>
            </w: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其中：</w:t>
            </w:r>
            <w:r>
              <w:rPr>
                <w:rFonts w:ascii="宋体" w:hAnsi="宋体" w:cs="宋体"/>
                <w:kern w:val="0"/>
                <w:sz w:val="18"/>
                <w:szCs w:val="18"/>
              </w:rPr>
              <w:t xml:space="preserve"> </w:t>
            </w:r>
            <w:r>
              <w:rPr>
                <w:rFonts w:hint="eastAsia" w:ascii="宋体" w:hAnsi="宋体" w:cs="宋体"/>
                <w:kern w:val="0"/>
                <w:sz w:val="18"/>
                <w:szCs w:val="18"/>
              </w:rPr>
              <w:t>基本支出：</w:t>
            </w:r>
            <w:r>
              <w:rPr>
                <w:rFonts w:hint="eastAsia" w:ascii="宋体" w:hAnsi="宋体" w:cs="宋体"/>
                <w:kern w:val="0"/>
                <w:sz w:val="18"/>
                <w:szCs w:val="18"/>
                <w:lang w:val="en-US" w:eastAsia="zh-CN"/>
              </w:rPr>
              <w:t>64.16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Align w:val="bottom"/>
          </w:tcPr>
          <w:p>
            <w:pPr>
              <w:widowControl/>
              <w:jc w:val="left"/>
              <w:rPr>
                <w:rFonts w:ascii="宋体" w:cs="宋体"/>
                <w:kern w:val="0"/>
                <w:sz w:val="18"/>
                <w:szCs w:val="18"/>
              </w:rPr>
            </w:pPr>
            <w:r>
              <w:rPr>
                <w:rFonts w:ascii="宋体" w:hAnsi="宋体" w:cs="宋体"/>
                <w:kern w:val="0"/>
                <w:sz w:val="18"/>
                <w:szCs w:val="18"/>
              </w:rPr>
              <w:t xml:space="preserve">      </w:t>
            </w:r>
            <w:r>
              <w:rPr>
                <w:rFonts w:hint="eastAsia" w:ascii="宋体" w:hAnsi="宋体" w:cs="宋体"/>
                <w:kern w:val="0"/>
                <w:sz w:val="18"/>
                <w:szCs w:val="18"/>
              </w:rPr>
              <w:t>纳入预算管理的非税收入拨款：</w:t>
            </w:r>
          </w:p>
        </w:tc>
        <w:tc>
          <w:tcPr>
            <w:tcW w:w="3920" w:type="dxa"/>
            <w:vAlign w:val="bottom"/>
          </w:tcPr>
          <w:p>
            <w:pPr>
              <w:widowControl/>
              <w:jc w:val="left"/>
              <w:rPr>
                <w:rFonts w:ascii="宋体" w:cs="宋体"/>
                <w:kern w:val="0"/>
                <w:sz w:val="18"/>
                <w:szCs w:val="18"/>
              </w:rPr>
            </w:pPr>
            <w:r>
              <w:rPr>
                <w:rFonts w:ascii="宋体" w:hAnsi="宋体" w:cs="宋体"/>
                <w:kern w:val="0"/>
                <w:sz w:val="18"/>
                <w:szCs w:val="18"/>
              </w:rPr>
              <w:t xml:space="preserve">       </w:t>
            </w:r>
            <w:r>
              <w:rPr>
                <w:rFonts w:hint="eastAsia" w:ascii="宋体" w:hAnsi="宋体" w:cs="宋体"/>
                <w:kern w:val="0"/>
                <w:sz w:val="18"/>
                <w:szCs w:val="18"/>
              </w:rPr>
              <w:t>项目支出：</w:t>
            </w:r>
            <w:r>
              <w:rPr>
                <w:rFonts w:hint="eastAsia" w:ascii="宋体" w:hAnsi="宋体" w:cs="宋体"/>
                <w:kern w:val="0"/>
                <w:sz w:val="18"/>
                <w:szCs w:val="18"/>
                <w:lang w:val="en-US" w:eastAsia="zh-CN"/>
              </w:rPr>
              <w:t>3443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Align w:val="bottom"/>
          </w:tcPr>
          <w:p>
            <w:pPr>
              <w:widowControl/>
              <w:jc w:val="left"/>
              <w:rPr>
                <w:rFonts w:ascii="宋体" w:cs="宋体"/>
                <w:kern w:val="0"/>
                <w:sz w:val="18"/>
                <w:szCs w:val="18"/>
              </w:rPr>
            </w:pPr>
            <w:r>
              <w:rPr>
                <w:rFonts w:ascii="宋体" w:hAnsi="宋体" w:cs="宋体"/>
                <w:kern w:val="0"/>
                <w:sz w:val="18"/>
                <w:szCs w:val="18"/>
              </w:rPr>
              <w:t xml:space="preserve">      </w:t>
            </w:r>
            <w:r>
              <w:rPr>
                <w:rFonts w:hint="eastAsia" w:ascii="宋体" w:hAnsi="宋体" w:cs="宋体"/>
                <w:kern w:val="0"/>
                <w:sz w:val="18"/>
                <w:szCs w:val="18"/>
              </w:rPr>
              <w:t>政府性基金拨款：</w:t>
            </w:r>
            <w:r>
              <w:rPr>
                <w:rFonts w:hint="eastAsia" w:ascii="宋体" w:hAnsi="宋体" w:cs="宋体"/>
                <w:kern w:val="0"/>
                <w:sz w:val="18"/>
                <w:szCs w:val="18"/>
                <w:lang w:val="en-US" w:eastAsia="zh-CN"/>
              </w:rPr>
              <w:t>3443</w:t>
            </w:r>
          </w:p>
        </w:tc>
        <w:tc>
          <w:tcPr>
            <w:tcW w:w="3920" w:type="dxa"/>
            <w:vAlign w:val="bottom"/>
          </w:tcPr>
          <w:p>
            <w:pPr>
              <w:widowControl/>
              <w:jc w:val="left"/>
              <w:rPr>
                <w:rFonts w:ascii="宋体" w:cs="宋体"/>
                <w:kern w:val="0"/>
                <w:sz w:val="18"/>
                <w:szCs w:val="18"/>
              </w:rPr>
            </w:pPr>
            <w:r>
              <w:rPr>
                <w:rFonts w:ascii="宋体" w:hAnsi="宋体" w:cs="宋体"/>
                <w:kern w:val="0"/>
                <w:sz w:val="18"/>
                <w:szCs w:val="18"/>
              </w:rPr>
              <w:t xml:space="preserve">       </w:t>
            </w:r>
            <w:r>
              <w:rPr>
                <w:rFonts w:hint="eastAsia" w:ascii="宋体" w:hAnsi="宋体" w:cs="宋体"/>
                <w:kern w:val="0"/>
                <w:sz w:val="18"/>
                <w:szCs w:val="18"/>
              </w:rPr>
              <w:t>其他支出：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Align w:val="bottom"/>
          </w:tcPr>
          <w:p>
            <w:pPr>
              <w:widowControl/>
              <w:jc w:val="left"/>
              <w:rPr>
                <w:rFonts w:ascii="宋体" w:cs="宋体"/>
                <w:kern w:val="0"/>
                <w:sz w:val="18"/>
                <w:szCs w:val="18"/>
              </w:rPr>
            </w:pPr>
            <w:r>
              <w:rPr>
                <w:rFonts w:ascii="宋体" w:hAnsi="宋体" w:cs="宋体"/>
                <w:kern w:val="0"/>
                <w:sz w:val="18"/>
                <w:szCs w:val="18"/>
              </w:rPr>
              <w:t xml:space="preserve">      </w:t>
            </w:r>
            <w:r>
              <w:rPr>
                <w:rFonts w:hint="eastAsia" w:ascii="宋体" w:hAnsi="宋体" w:cs="宋体"/>
                <w:kern w:val="0"/>
                <w:sz w:val="18"/>
                <w:szCs w:val="18"/>
              </w:rPr>
              <w:t>国有资本经营收入拨款：</w:t>
            </w: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Align w:val="bottom"/>
          </w:tcPr>
          <w:p>
            <w:pPr>
              <w:widowControl/>
              <w:jc w:val="left"/>
              <w:rPr>
                <w:rFonts w:ascii="宋体" w:cs="宋体"/>
                <w:kern w:val="0"/>
                <w:sz w:val="18"/>
                <w:szCs w:val="18"/>
              </w:rPr>
            </w:pPr>
            <w:r>
              <w:rPr>
                <w:rFonts w:ascii="宋体" w:hAnsi="宋体" w:cs="宋体"/>
                <w:kern w:val="0"/>
                <w:sz w:val="18"/>
                <w:szCs w:val="18"/>
              </w:rPr>
              <w:t xml:space="preserve">      </w:t>
            </w:r>
            <w:r>
              <w:rPr>
                <w:rFonts w:hint="eastAsia" w:ascii="宋体" w:hAnsi="宋体" w:cs="宋体"/>
                <w:kern w:val="0"/>
                <w:sz w:val="18"/>
                <w:szCs w:val="18"/>
              </w:rPr>
              <w:t>纳入专户管理的非税收入拨款：</w:t>
            </w: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Align w:val="bottom"/>
          </w:tcPr>
          <w:p>
            <w:pPr>
              <w:widowControl/>
              <w:jc w:val="left"/>
              <w:rPr>
                <w:rFonts w:ascii="宋体" w:cs="宋体"/>
                <w:kern w:val="0"/>
                <w:sz w:val="18"/>
                <w:szCs w:val="18"/>
              </w:rPr>
            </w:pPr>
            <w:r>
              <w:rPr>
                <w:rFonts w:ascii="宋体" w:hAnsi="宋体" w:cs="宋体"/>
                <w:kern w:val="0"/>
                <w:sz w:val="18"/>
                <w:szCs w:val="18"/>
              </w:rPr>
              <w:t xml:space="preserve">      </w:t>
            </w:r>
            <w:r>
              <w:rPr>
                <w:rFonts w:hint="eastAsia" w:ascii="宋体" w:hAnsi="宋体" w:cs="宋体"/>
                <w:kern w:val="0"/>
                <w:sz w:val="18"/>
                <w:szCs w:val="18"/>
              </w:rPr>
              <w:t>其他资金：</w:t>
            </w: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25" w:hRule="atLeast"/>
        </w:trPr>
        <w:tc>
          <w:tcPr>
            <w:tcW w:w="1660" w:type="dxa"/>
            <w:vAlign w:val="center"/>
          </w:tcPr>
          <w:p>
            <w:pPr>
              <w:widowControl/>
              <w:jc w:val="center"/>
              <w:rPr>
                <w:rFonts w:ascii="宋体" w:cs="宋体"/>
                <w:kern w:val="0"/>
                <w:sz w:val="18"/>
                <w:szCs w:val="18"/>
              </w:rPr>
            </w:pPr>
            <w:r>
              <w:rPr>
                <w:rFonts w:hint="eastAsia" w:ascii="宋体" w:hAnsi="宋体" w:cs="宋体"/>
                <w:kern w:val="0"/>
                <w:sz w:val="18"/>
                <w:szCs w:val="18"/>
              </w:rPr>
              <w:t>部门职能职责概述</w:t>
            </w:r>
          </w:p>
        </w:tc>
        <w:tc>
          <w:tcPr>
            <w:tcW w:w="7600" w:type="dxa"/>
            <w:gridSpan w:val="2"/>
            <w:vAlign w:val="center"/>
          </w:tcPr>
          <w:p>
            <w:pPr>
              <w:widowControl/>
              <w:jc w:val="left"/>
              <w:rPr>
                <w:rFonts w:ascii="宋体" w:cs="宋体"/>
                <w:kern w:val="0"/>
                <w:sz w:val="18"/>
                <w:szCs w:val="18"/>
              </w:rPr>
            </w:pPr>
            <w:r>
              <w:rPr>
                <w:rFonts w:hint="eastAsia" w:hAnsi="仿宋_GB2312" w:cs="仿宋_GB2312"/>
                <w:szCs w:val="32"/>
              </w:rPr>
              <w:t>1、宣传和贯彻</w:t>
            </w:r>
            <w:bookmarkStart w:id="0" w:name="_GoBack"/>
            <w:bookmarkEnd w:id="0"/>
            <w:r>
              <w:rPr>
                <w:rFonts w:hint="eastAsia" w:hAnsi="仿宋_GB2312" w:cs="仿宋_GB2312"/>
                <w:szCs w:val="32"/>
              </w:rPr>
              <w:t>落实国家、省、市对城乡居民社会养老保险的相关政策，拟定全县城乡居民社会养老保险实施办法、业务操作规程、工作流程等；2、负责全县城乡居民社会养老保险基金征缴、管理和监督考核以及城乡居民养老保险业务经办机构的业务指导工作；3、负责养老金领取人员的资格审查，养老金待遇标准核算及发放工作；4、负责办理全县城乡适龄参保居民的参保、转保、退保等手续；5、负责城乡居民社会养老保险业务各种表、单、帐、卡、册的制作、复核、签发工作，建立健全登记、收发和使用制度；6、负责城乡居民养老社会保险数据库的建立和维护以及业务档案管理和统计工作；7、编制城乡居民社会养老保险工作计划、基金预决算、承办基金上解与调拨、核并组织实施，定期检查业务进展和制度执行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9" w:hRule="atLeast"/>
        </w:trPr>
        <w:tc>
          <w:tcPr>
            <w:tcW w:w="1660" w:type="dxa"/>
            <w:vMerge w:val="restart"/>
            <w:vAlign w:val="center"/>
          </w:tcPr>
          <w:p>
            <w:pPr>
              <w:widowControl/>
              <w:jc w:val="center"/>
              <w:rPr>
                <w:rFonts w:ascii="宋体" w:cs="宋体"/>
                <w:kern w:val="0"/>
                <w:sz w:val="18"/>
                <w:szCs w:val="18"/>
              </w:rPr>
            </w:pPr>
            <w:r>
              <w:rPr>
                <w:rFonts w:hint="eastAsia" w:ascii="宋体" w:hAnsi="宋体" w:cs="宋体"/>
                <w:kern w:val="0"/>
                <w:sz w:val="18"/>
                <w:szCs w:val="18"/>
              </w:rPr>
              <w:t>整体绩效目标</w:t>
            </w:r>
          </w:p>
        </w:tc>
        <w:tc>
          <w:tcPr>
            <w:tcW w:w="7600" w:type="dxa"/>
            <w:gridSpan w:val="2"/>
          </w:tcPr>
          <w:p>
            <w:pPr>
              <w:keepNext w:val="0"/>
              <w:keepLines w:val="0"/>
              <w:widowControl/>
              <w:suppressLineNumbers w:val="0"/>
              <w:pBdr>
                <w:top w:val="none" w:color="auto" w:sz="0" w:space="0"/>
                <w:left w:val="none" w:color="auto" w:sz="0" w:space="0"/>
                <w:bottom w:val="none" w:color="auto" w:sz="0" w:space="0"/>
                <w:right w:val="none" w:color="auto" w:sz="0" w:space="0"/>
              </w:pBdr>
              <w:tabs>
                <w:tab w:val="left" w:pos="7560"/>
                <w:tab w:val="left" w:pos="7740"/>
              </w:tabs>
              <w:wordWrap w:val="0"/>
              <w:spacing w:before="0" w:beforeAutospacing="0" w:after="0" w:afterAutospacing="0" w:line="500" w:lineRule="exact"/>
              <w:ind w:right="0"/>
              <w:jc w:val="left"/>
              <w:rPr>
                <w:rFonts w:ascii="宋体" w:cs="宋体"/>
                <w:kern w:val="0"/>
                <w:sz w:val="18"/>
                <w:szCs w:val="18"/>
              </w:rPr>
            </w:pPr>
            <w:r>
              <w:rPr>
                <w:rFonts w:hint="eastAsia" w:ascii="宋体" w:hAnsi="宋体" w:cs="宋体"/>
                <w:kern w:val="0"/>
                <w:sz w:val="18"/>
                <w:szCs w:val="18"/>
              </w:rPr>
              <w:t>目标</w:t>
            </w:r>
            <w:r>
              <w:rPr>
                <w:rFonts w:ascii="宋体" w:hAnsi="宋体" w:cs="宋体"/>
                <w:kern w:val="0"/>
                <w:sz w:val="18"/>
                <w:szCs w:val="18"/>
              </w:rPr>
              <w:t>1</w:t>
            </w:r>
            <w:r>
              <w:rPr>
                <w:rFonts w:hint="eastAsia" w:ascii="宋体" w:hAnsi="宋体" w:cs="宋体"/>
                <w:kern w:val="0"/>
                <w:sz w:val="18"/>
                <w:szCs w:val="18"/>
              </w:rPr>
              <w:t>（党委政府下达的绩效考核个性指标任务）</w:t>
            </w:r>
            <w:r>
              <w:rPr>
                <w:rFonts w:hint="eastAsia" w:ascii="宋体" w:hAnsi="宋体" w:cs="宋体"/>
                <w:kern w:val="0"/>
                <w:sz w:val="18"/>
                <w:szCs w:val="18"/>
                <w:lang w:eastAsia="zh-CN"/>
              </w:rPr>
              <w:t>：宣传和贯彻落实国家、省、市对城乡居民社会养老保险的相关政策；落实好安全生产工作。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540" w:hRule="atLeast"/>
        </w:trPr>
        <w:tc>
          <w:tcPr>
            <w:tcW w:w="1660" w:type="dxa"/>
            <w:vMerge w:val="continue"/>
            <w:vAlign w:val="center"/>
          </w:tcPr>
          <w:p>
            <w:pPr>
              <w:widowControl/>
              <w:jc w:val="left"/>
              <w:rPr>
                <w:rFonts w:ascii="宋体" w:cs="宋体"/>
                <w:kern w:val="0"/>
                <w:sz w:val="18"/>
                <w:szCs w:val="18"/>
              </w:rPr>
            </w:pPr>
          </w:p>
        </w:tc>
        <w:tc>
          <w:tcPr>
            <w:tcW w:w="7600" w:type="dxa"/>
            <w:gridSpan w:val="2"/>
          </w:tcPr>
          <w:p>
            <w:pPr>
              <w:widowControl/>
              <w:jc w:val="left"/>
              <w:rPr>
                <w:rFonts w:ascii="宋体" w:cs="宋体"/>
                <w:kern w:val="0"/>
                <w:sz w:val="18"/>
                <w:szCs w:val="18"/>
              </w:rPr>
            </w:pPr>
            <w:r>
              <w:rPr>
                <w:rFonts w:hint="eastAsia" w:ascii="宋体" w:hAnsi="宋体" w:cs="宋体"/>
                <w:kern w:val="0"/>
                <w:sz w:val="18"/>
                <w:szCs w:val="18"/>
              </w:rPr>
              <w:t>目标</w:t>
            </w:r>
            <w:r>
              <w:rPr>
                <w:rFonts w:ascii="宋体" w:hAnsi="宋体" w:cs="宋体"/>
                <w:kern w:val="0"/>
                <w:sz w:val="18"/>
                <w:szCs w:val="18"/>
              </w:rPr>
              <w:t>2</w:t>
            </w:r>
            <w:r>
              <w:rPr>
                <w:rFonts w:hint="eastAsia" w:ascii="宋体" w:hAnsi="宋体" w:cs="宋体"/>
                <w:kern w:val="0"/>
                <w:sz w:val="18"/>
                <w:szCs w:val="18"/>
              </w:rPr>
              <w:t>（上级主管部门下达的主要考核任务）：确保城乡民养老保险全覆盖</w:t>
            </w:r>
            <w:r>
              <w:rPr>
                <w:rFonts w:hint="eastAsia" w:ascii="宋体" w:hAnsi="宋体" w:cs="宋体"/>
                <w:kern w:val="0"/>
                <w:sz w:val="18"/>
                <w:szCs w:val="18"/>
                <w:lang w:eastAsia="zh-CN"/>
              </w:rPr>
              <w:t>，</w:t>
            </w:r>
            <w:r>
              <w:rPr>
                <w:rFonts w:hint="eastAsia" w:ascii="宋体" w:hAnsi="宋体" w:cs="宋体"/>
                <w:kern w:val="0"/>
                <w:sz w:val="18"/>
                <w:szCs w:val="18"/>
              </w:rPr>
              <w:t>认真审核年满60周岁参保人养老金发放和注销工作，做好养老金按时、准确发放。简化流程措施提前完成城乡居民基本养老保险新参保任务。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1660" w:type="dxa"/>
            <w:vMerge w:val="continue"/>
            <w:vAlign w:val="center"/>
          </w:tcPr>
          <w:p>
            <w:pPr>
              <w:widowControl/>
              <w:jc w:val="left"/>
              <w:rPr>
                <w:rFonts w:ascii="宋体" w:cs="宋体"/>
                <w:kern w:val="0"/>
                <w:sz w:val="18"/>
                <w:szCs w:val="18"/>
              </w:rPr>
            </w:pPr>
          </w:p>
        </w:tc>
        <w:tc>
          <w:tcPr>
            <w:tcW w:w="7600" w:type="dxa"/>
            <w:gridSpan w:val="2"/>
          </w:tcPr>
          <w:p>
            <w:pPr>
              <w:widowControl/>
              <w:jc w:val="left"/>
              <w:rPr>
                <w:rFonts w:hint="eastAsia" w:ascii="Tahoma" w:hAnsi="Tahoma" w:eastAsia="Tahoma" w:cs="Tahoma"/>
                <w:b w:val="0"/>
                <w:i w:val="0"/>
                <w:caps w:val="0"/>
                <w:color w:val="000000"/>
                <w:spacing w:val="0"/>
                <w:sz w:val="18"/>
                <w:szCs w:val="18"/>
              </w:rPr>
            </w:pPr>
            <w:r>
              <w:rPr>
                <w:rFonts w:hint="eastAsia" w:ascii="宋体" w:hAnsi="宋体" w:cs="宋体"/>
                <w:kern w:val="0"/>
                <w:sz w:val="18"/>
                <w:szCs w:val="18"/>
              </w:rPr>
              <w:t>目标</w:t>
            </w:r>
            <w:r>
              <w:rPr>
                <w:rFonts w:ascii="宋体" w:hAnsi="宋体" w:cs="宋体"/>
                <w:kern w:val="0"/>
                <w:sz w:val="18"/>
                <w:szCs w:val="18"/>
              </w:rPr>
              <w:t>3</w:t>
            </w:r>
            <w:r>
              <w:rPr>
                <w:rFonts w:hint="eastAsia" w:ascii="宋体" w:hAnsi="宋体" w:cs="宋体"/>
                <w:kern w:val="0"/>
                <w:sz w:val="18"/>
                <w:szCs w:val="18"/>
              </w:rPr>
              <w:t>（本部门发展规划）：</w:t>
            </w:r>
            <w:r>
              <w:rPr>
                <w:rFonts w:hint="eastAsia" w:ascii="Tahoma" w:hAnsi="Tahoma" w:eastAsia="Tahoma" w:cs="Tahoma"/>
                <w:b w:val="0"/>
                <w:i w:val="0"/>
                <w:caps w:val="0"/>
                <w:color w:val="000000"/>
                <w:spacing w:val="0"/>
                <w:sz w:val="18"/>
                <w:szCs w:val="18"/>
              </w:rPr>
              <w:t>我们对201</w:t>
            </w:r>
            <w:r>
              <w:rPr>
                <w:rFonts w:hint="eastAsia" w:ascii="Tahoma" w:hAnsi="Tahoma" w:cs="Tahoma"/>
                <w:b w:val="0"/>
                <w:i w:val="0"/>
                <w:caps w:val="0"/>
                <w:color w:val="000000"/>
                <w:spacing w:val="0"/>
                <w:sz w:val="18"/>
                <w:szCs w:val="18"/>
                <w:lang w:val="en-US" w:eastAsia="zh-CN"/>
              </w:rPr>
              <w:t>7</w:t>
            </w:r>
            <w:r>
              <w:rPr>
                <w:rFonts w:hint="eastAsia" w:ascii="Tahoma" w:hAnsi="Tahoma" w:eastAsia="Tahoma" w:cs="Tahoma"/>
                <w:b w:val="0"/>
                <w:i w:val="0"/>
                <w:caps w:val="0"/>
                <w:color w:val="000000"/>
                <w:spacing w:val="0"/>
                <w:sz w:val="18"/>
                <w:szCs w:val="18"/>
              </w:rPr>
              <w:t>年的工作进行了详细的安排，主要有以下几点：</w:t>
            </w:r>
          </w:p>
          <w:p>
            <w:pPr>
              <w:widowControl/>
              <w:jc w:val="left"/>
              <w:rPr>
                <w:rFonts w:hint="eastAsia" w:ascii="Tahoma" w:hAnsi="Tahoma" w:cs="Tahoma"/>
                <w:b w:val="0"/>
                <w:i w:val="0"/>
                <w:caps w:val="0"/>
                <w:color w:val="000000"/>
                <w:spacing w:val="0"/>
                <w:sz w:val="18"/>
                <w:szCs w:val="18"/>
                <w:lang w:val="en-US" w:eastAsia="zh-CN"/>
              </w:rPr>
            </w:pPr>
            <w:r>
              <w:rPr>
                <w:rFonts w:hint="eastAsia" w:ascii="Tahoma" w:hAnsi="Tahoma" w:cs="Tahoma"/>
                <w:b w:val="0"/>
                <w:i w:val="0"/>
                <w:caps w:val="0"/>
                <w:color w:val="000000"/>
                <w:spacing w:val="0"/>
                <w:sz w:val="18"/>
                <w:szCs w:val="18"/>
                <w:lang w:val="en-US" w:eastAsia="zh-CN"/>
              </w:rPr>
              <w:t xml:space="preserve">   1、咬定工作目标，继续加大扩面、征缴力度，努力完成上级下达的任务。</w:t>
            </w:r>
          </w:p>
          <w:p>
            <w:pPr>
              <w:widowControl/>
              <w:jc w:val="left"/>
              <w:rPr>
                <w:rFonts w:hint="eastAsia" w:ascii="Tahoma" w:hAnsi="Tahoma" w:eastAsia="Tahoma" w:cs="Tahoma"/>
                <w:b w:val="0"/>
                <w:i w:val="0"/>
                <w:caps w:val="0"/>
                <w:color w:val="000000"/>
                <w:spacing w:val="0"/>
                <w:sz w:val="18"/>
                <w:szCs w:val="18"/>
              </w:rPr>
            </w:pPr>
            <w:r>
              <w:rPr>
                <w:rFonts w:hint="eastAsia" w:ascii="Tahoma" w:hAnsi="Tahoma" w:cs="Tahoma"/>
                <w:b w:val="0"/>
                <w:i w:val="0"/>
                <w:caps w:val="0"/>
                <w:color w:val="000000"/>
                <w:spacing w:val="0"/>
                <w:sz w:val="18"/>
                <w:szCs w:val="18"/>
                <w:lang w:val="en-US" w:eastAsia="zh-CN"/>
              </w:rPr>
              <w:t xml:space="preserve">   </w:t>
            </w:r>
            <w:r>
              <w:rPr>
                <w:rFonts w:hint="eastAsia" w:ascii="Tahoma" w:hAnsi="Tahoma" w:eastAsia="Tahoma" w:cs="Tahoma"/>
                <w:b w:val="0"/>
                <w:i w:val="0"/>
                <w:caps w:val="0"/>
                <w:color w:val="000000"/>
                <w:spacing w:val="0"/>
                <w:sz w:val="18"/>
                <w:szCs w:val="18"/>
              </w:rPr>
              <w:t>2、全面推进经办管理信息化，加快社保卡应用。</w:t>
            </w:r>
          </w:p>
          <w:p>
            <w:pPr>
              <w:widowControl/>
              <w:jc w:val="left"/>
              <w:rPr>
                <w:rFonts w:hint="eastAsia" w:ascii="Tahoma" w:hAnsi="Tahoma" w:eastAsia="Tahoma" w:cs="Tahoma"/>
                <w:b w:val="0"/>
                <w:i w:val="0"/>
                <w:caps w:val="0"/>
                <w:color w:val="000000"/>
                <w:spacing w:val="0"/>
                <w:sz w:val="18"/>
                <w:szCs w:val="18"/>
              </w:rPr>
            </w:pPr>
            <w:r>
              <w:rPr>
                <w:rFonts w:hint="eastAsia" w:ascii="Tahoma" w:hAnsi="Tahoma" w:cs="Tahoma"/>
                <w:b w:val="0"/>
                <w:i w:val="0"/>
                <w:caps w:val="0"/>
                <w:color w:val="000000"/>
                <w:spacing w:val="0"/>
                <w:sz w:val="18"/>
                <w:szCs w:val="18"/>
                <w:lang w:val="en-US" w:eastAsia="zh-CN"/>
              </w:rPr>
              <w:t xml:space="preserve">   </w:t>
            </w:r>
            <w:r>
              <w:rPr>
                <w:rFonts w:hint="eastAsia" w:ascii="Tahoma" w:hAnsi="Tahoma" w:eastAsia="Tahoma" w:cs="Tahoma"/>
                <w:b w:val="0"/>
                <w:i w:val="0"/>
                <w:caps w:val="0"/>
                <w:color w:val="000000"/>
                <w:spacing w:val="0"/>
                <w:sz w:val="18"/>
                <w:szCs w:val="18"/>
              </w:rPr>
              <w:t>3、加强档案管理，确保创优达标。</w:t>
            </w:r>
          </w:p>
          <w:p>
            <w:pPr>
              <w:widowControl/>
              <w:jc w:val="left"/>
              <w:rPr>
                <w:rFonts w:hint="eastAsia" w:ascii="Tahoma" w:hAnsi="Tahoma" w:eastAsia="宋体" w:cs="Tahoma"/>
                <w:b w:val="0"/>
                <w:i w:val="0"/>
                <w:caps w:val="0"/>
                <w:color w:val="000000"/>
                <w:spacing w:val="0"/>
                <w:sz w:val="24"/>
                <w:szCs w:val="24"/>
                <w:lang w:val="en-US" w:eastAsia="zh-CN"/>
              </w:rPr>
            </w:pPr>
            <w:r>
              <w:rPr>
                <w:rFonts w:hint="eastAsia" w:ascii="Tahoma" w:hAnsi="Tahoma" w:cs="Tahoma"/>
                <w:b w:val="0"/>
                <w:i w:val="0"/>
                <w:caps w:val="0"/>
                <w:color w:val="000000"/>
                <w:spacing w:val="0"/>
                <w:sz w:val="18"/>
                <w:szCs w:val="18"/>
                <w:lang w:val="en-US" w:eastAsia="zh-CN"/>
              </w:rPr>
              <w:t xml:space="preserve">    总之，城乡居民社会养老保险工作是推动我县社会事业发展的重要惠民工程，也是改善和保障民生的重要举措，我们一定要继续努力完成好各项工作，确保我县的城乡居民社会养老保险工作真正实现制度化、规范化、信息化、标准化管理，圆满完成上级部门下达的各项工作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restart"/>
            <w:vAlign w:val="center"/>
          </w:tcPr>
          <w:p>
            <w:pPr>
              <w:widowControl/>
              <w:jc w:val="center"/>
              <w:rPr>
                <w:rFonts w:ascii="宋体" w:cs="宋体"/>
                <w:kern w:val="0"/>
                <w:sz w:val="18"/>
                <w:szCs w:val="18"/>
              </w:rPr>
            </w:pPr>
            <w:r>
              <w:rPr>
                <w:rFonts w:hint="eastAsia" w:ascii="宋体" w:hAnsi="宋体" w:cs="宋体"/>
                <w:kern w:val="0"/>
                <w:sz w:val="18"/>
                <w:szCs w:val="18"/>
              </w:rPr>
              <w:t>部门整体支出年度绩效指标</w:t>
            </w:r>
          </w:p>
        </w:tc>
        <w:tc>
          <w:tcPr>
            <w:tcW w:w="3680" w:type="dxa"/>
            <w:vMerge w:val="restart"/>
            <w:vAlign w:val="center"/>
          </w:tcPr>
          <w:p>
            <w:pPr>
              <w:widowControl/>
              <w:jc w:val="center"/>
              <w:rPr>
                <w:rFonts w:ascii="宋体" w:cs="宋体"/>
                <w:kern w:val="0"/>
                <w:sz w:val="18"/>
                <w:szCs w:val="18"/>
              </w:rPr>
            </w:pPr>
            <w:r>
              <w:rPr>
                <w:rFonts w:hint="eastAsia" w:ascii="宋体" w:hAnsi="宋体" w:cs="宋体"/>
                <w:kern w:val="0"/>
                <w:sz w:val="18"/>
                <w:szCs w:val="18"/>
              </w:rPr>
              <w:t>产出指标</w:t>
            </w: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部门重点支出占部门整体支出的比例：</w:t>
            </w:r>
            <w:r>
              <w:rPr>
                <w:rFonts w:hint="eastAsia" w:ascii="宋体" w:hAnsi="宋体" w:cs="宋体"/>
                <w:kern w:val="0"/>
                <w:sz w:val="18"/>
                <w:szCs w:val="18"/>
                <w:lang w:val="en-US" w:eastAsia="zh-CN"/>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Merge w:val="continue"/>
            <w:vAlign w:val="center"/>
          </w:tcPr>
          <w:p>
            <w:pPr>
              <w:widowControl/>
              <w:jc w:val="left"/>
              <w:rPr>
                <w:rFonts w:ascii="宋体" w:cs="宋体"/>
                <w:kern w:val="0"/>
                <w:sz w:val="18"/>
                <w:szCs w:val="18"/>
              </w:rPr>
            </w:pP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三公经费增减率</w:t>
            </w:r>
            <w:r>
              <w:rPr>
                <w:rFonts w:ascii="宋体" w:hAnsi="宋体" w:cs="宋体"/>
                <w:kern w:val="0"/>
                <w:sz w:val="18"/>
                <w:szCs w:val="18"/>
              </w:rPr>
              <w:t>:</w:t>
            </w:r>
            <w:r>
              <w:rPr>
                <w:rFonts w:hint="eastAsia" w:ascii="宋体" w:hAnsi="宋体" w:cs="宋体"/>
                <w:kern w:val="0"/>
                <w:sz w:val="18"/>
                <w:szCs w:val="18"/>
                <w:lang w:val="en-US" w:eastAsia="zh-CN"/>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Merge w:val="continue"/>
            <w:vAlign w:val="center"/>
          </w:tcPr>
          <w:p>
            <w:pPr>
              <w:widowControl/>
              <w:jc w:val="left"/>
              <w:rPr>
                <w:rFonts w:ascii="宋体" w:cs="宋体"/>
                <w:kern w:val="0"/>
                <w:sz w:val="18"/>
                <w:szCs w:val="18"/>
              </w:rPr>
            </w:pP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部门整体支出支付进度</w:t>
            </w:r>
            <w:r>
              <w:rPr>
                <w:rFonts w:ascii="宋体" w:hAnsi="宋体" w:cs="宋体"/>
                <w:kern w:val="0"/>
                <w:sz w:val="18"/>
                <w:szCs w:val="18"/>
              </w:rPr>
              <w:t>:</w:t>
            </w:r>
            <w:r>
              <w:rPr>
                <w:rFonts w:hint="eastAsia" w:ascii="宋体" w:hAnsi="宋体" w:cs="宋体"/>
                <w:kern w:val="0"/>
                <w:sz w:val="18"/>
                <w:szCs w:val="18"/>
                <w:lang w:eastAsia="zh-CN"/>
              </w:rPr>
              <w:t>按季度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Merge w:val="continue"/>
            <w:vAlign w:val="center"/>
          </w:tcPr>
          <w:p>
            <w:pPr>
              <w:widowControl/>
              <w:jc w:val="left"/>
              <w:rPr>
                <w:rFonts w:ascii="宋体" w:cs="宋体"/>
                <w:kern w:val="0"/>
                <w:sz w:val="18"/>
                <w:szCs w:val="18"/>
              </w:rPr>
            </w:pP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结转结余资金增减率：</w:t>
            </w:r>
            <w:r>
              <w:rPr>
                <w:rFonts w:hint="eastAsia" w:ascii="宋体" w:hAnsi="宋体" w:cs="宋体"/>
                <w:kern w:val="0"/>
                <w:sz w:val="18"/>
                <w:szCs w:val="18"/>
                <w:lang w:eastAsia="zh-CN"/>
              </w:rPr>
              <w:t>减少</w:t>
            </w:r>
            <w:r>
              <w:rPr>
                <w:rFonts w:hint="eastAsia" w:ascii="宋体" w:hAnsi="宋体" w:cs="宋体"/>
                <w:kern w:val="0"/>
                <w:sz w:val="18"/>
                <w:szCs w:val="18"/>
                <w:lang w:val="en-US" w:eastAsia="zh-CN"/>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Merge w:val="continue"/>
            <w:vAlign w:val="center"/>
          </w:tcPr>
          <w:p>
            <w:pPr>
              <w:widowControl/>
              <w:jc w:val="left"/>
              <w:rPr>
                <w:rFonts w:ascii="宋体" w:cs="宋体"/>
                <w:kern w:val="0"/>
                <w:sz w:val="18"/>
                <w:szCs w:val="18"/>
              </w:rPr>
            </w:pP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部门预决算和三公经费预决算公开：</w:t>
            </w:r>
            <w:r>
              <w:rPr>
                <w:rFonts w:hint="eastAsia" w:ascii="宋体" w:hAnsi="宋体" w:cs="宋体"/>
                <w:kern w:val="0"/>
                <w:sz w:val="18"/>
                <w:szCs w:val="18"/>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Merge w:val="continue"/>
            <w:vAlign w:val="center"/>
          </w:tcPr>
          <w:p>
            <w:pPr>
              <w:widowControl/>
              <w:jc w:val="left"/>
              <w:rPr>
                <w:rFonts w:ascii="宋体" w:cs="宋体"/>
                <w:kern w:val="0"/>
                <w:sz w:val="18"/>
                <w:szCs w:val="18"/>
              </w:rPr>
            </w:pP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政府采购执行率：</w:t>
            </w:r>
            <w:r>
              <w:rPr>
                <w:rFonts w:hint="eastAsia" w:ascii="宋体" w:hAnsi="宋体" w:cs="宋体"/>
                <w:kern w:val="0"/>
                <w:sz w:val="18"/>
                <w:szCs w:val="18"/>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Merge w:val="continue"/>
            <w:vAlign w:val="center"/>
          </w:tcPr>
          <w:p>
            <w:pPr>
              <w:widowControl/>
              <w:jc w:val="left"/>
              <w:rPr>
                <w:rFonts w:ascii="宋体" w:cs="宋体"/>
                <w:kern w:val="0"/>
                <w:sz w:val="18"/>
                <w:szCs w:val="18"/>
              </w:rPr>
            </w:pP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重点工作办结率：</w:t>
            </w:r>
            <w:r>
              <w:rPr>
                <w:rFonts w:hint="eastAsia" w:ascii="宋体" w:hAnsi="宋体" w:cs="宋体"/>
                <w:kern w:val="0"/>
                <w:sz w:val="18"/>
                <w:szCs w:val="18"/>
                <w:lang w:val="en-US" w:eastAsia="zh-CN"/>
              </w:rPr>
              <w:t>100%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Merge w:val="continue"/>
            <w:vAlign w:val="center"/>
          </w:tcPr>
          <w:p>
            <w:pPr>
              <w:widowControl/>
              <w:jc w:val="left"/>
              <w:rPr>
                <w:rFonts w:ascii="宋体" w:cs="宋体"/>
                <w:kern w:val="0"/>
                <w:sz w:val="18"/>
                <w:szCs w:val="18"/>
              </w:rPr>
            </w:pP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Merge w:val="restart"/>
            <w:vAlign w:val="center"/>
          </w:tcPr>
          <w:p>
            <w:pPr>
              <w:widowControl/>
              <w:jc w:val="center"/>
              <w:rPr>
                <w:rFonts w:ascii="宋体" w:cs="宋体"/>
                <w:kern w:val="0"/>
                <w:sz w:val="18"/>
                <w:szCs w:val="18"/>
              </w:rPr>
            </w:pPr>
            <w:r>
              <w:rPr>
                <w:rFonts w:hint="eastAsia" w:ascii="宋体" w:hAnsi="宋体" w:cs="宋体"/>
                <w:kern w:val="0"/>
                <w:sz w:val="18"/>
                <w:szCs w:val="18"/>
              </w:rPr>
              <w:t>效益指标</w:t>
            </w: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指标</w:t>
            </w:r>
            <w:r>
              <w:rPr>
                <w:rFonts w:ascii="宋体" w:hAnsi="宋体" w:cs="宋体"/>
                <w:kern w:val="0"/>
                <w:sz w:val="18"/>
                <w:szCs w:val="18"/>
              </w:rPr>
              <w:t>1</w:t>
            </w:r>
            <w:r>
              <w:rPr>
                <w:rFonts w:hint="eastAsia" w:ascii="宋体" w:hAnsi="宋体" w:cs="宋体"/>
                <w:kern w:val="0"/>
                <w:sz w:val="18"/>
                <w:szCs w:val="18"/>
              </w:rPr>
              <w:t>（经济效益）：</w:t>
            </w:r>
            <w:r>
              <w:rPr>
                <w:rFonts w:hint="eastAsia" w:ascii="宋体" w:hAnsi="宋体" w:cs="宋体"/>
                <w:kern w:val="0"/>
                <w:sz w:val="18"/>
                <w:szCs w:val="18"/>
                <w:lang w:val="en-US" w:eastAsia="zh-CN"/>
              </w:rPr>
              <w:t>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Merge w:val="continue"/>
            <w:vAlign w:val="center"/>
          </w:tcPr>
          <w:p>
            <w:pPr>
              <w:widowControl/>
              <w:jc w:val="left"/>
              <w:rPr>
                <w:rFonts w:ascii="宋体" w:cs="宋体"/>
                <w:kern w:val="0"/>
                <w:sz w:val="18"/>
                <w:szCs w:val="18"/>
              </w:rPr>
            </w:pP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指标</w:t>
            </w:r>
            <w:r>
              <w:rPr>
                <w:rFonts w:ascii="宋体" w:hAnsi="宋体" w:cs="宋体"/>
                <w:kern w:val="0"/>
                <w:sz w:val="18"/>
                <w:szCs w:val="18"/>
              </w:rPr>
              <w:t>2</w:t>
            </w:r>
            <w:r>
              <w:rPr>
                <w:rFonts w:hint="eastAsia" w:ascii="宋体" w:hAnsi="宋体" w:cs="宋体"/>
                <w:kern w:val="0"/>
                <w:sz w:val="18"/>
                <w:szCs w:val="18"/>
              </w:rPr>
              <w:t>（社会效益）：使广大人民群众进一步的熟悉和了解城乡居民养老保险工作，为早日实现应保尽保做好基础工作。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Merge w:val="continue"/>
            <w:vAlign w:val="center"/>
          </w:tcPr>
          <w:p>
            <w:pPr>
              <w:widowControl/>
              <w:jc w:val="left"/>
              <w:rPr>
                <w:rFonts w:ascii="宋体" w:cs="宋体"/>
                <w:kern w:val="0"/>
                <w:sz w:val="18"/>
                <w:szCs w:val="18"/>
              </w:rPr>
            </w:pP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指标</w:t>
            </w:r>
            <w:r>
              <w:rPr>
                <w:rFonts w:ascii="宋体" w:hAnsi="宋体" w:cs="宋体"/>
                <w:kern w:val="0"/>
                <w:sz w:val="18"/>
                <w:szCs w:val="18"/>
              </w:rPr>
              <w:t>3</w:t>
            </w:r>
            <w:r>
              <w:rPr>
                <w:rFonts w:hint="eastAsia" w:ascii="宋体" w:hAnsi="宋体" w:cs="宋体"/>
                <w:kern w:val="0"/>
                <w:sz w:val="18"/>
                <w:szCs w:val="18"/>
              </w:rPr>
              <w:t>（社会公众或服务对象满意度）：</w:t>
            </w:r>
            <w:r>
              <w:rPr>
                <w:rFonts w:hint="eastAsia" w:ascii="宋体" w:hAnsi="宋体" w:cs="宋体"/>
                <w:kern w:val="0"/>
                <w:sz w:val="18"/>
                <w:szCs w:val="18"/>
                <w:lang w:val="en-US" w:eastAsia="zh-CN"/>
              </w:rPr>
              <w:t>98%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75" w:hRule="atLeast"/>
        </w:trPr>
        <w:tc>
          <w:tcPr>
            <w:tcW w:w="1660" w:type="dxa"/>
            <w:vMerge w:val="continue"/>
            <w:vAlign w:val="center"/>
          </w:tcPr>
          <w:p>
            <w:pPr>
              <w:widowControl/>
              <w:jc w:val="left"/>
              <w:rPr>
                <w:rFonts w:ascii="宋体" w:cs="宋体"/>
                <w:kern w:val="0"/>
                <w:sz w:val="18"/>
                <w:szCs w:val="18"/>
              </w:rPr>
            </w:pPr>
          </w:p>
        </w:tc>
        <w:tc>
          <w:tcPr>
            <w:tcW w:w="3680" w:type="dxa"/>
            <w:vMerge w:val="continue"/>
            <w:vAlign w:val="center"/>
          </w:tcPr>
          <w:p>
            <w:pPr>
              <w:widowControl/>
              <w:jc w:val="left"/>
              <w:rPr>
                <w:rFonts w:ascii="宋体" w:cs="宋体"/>
                <w:kern w:val="0"/>
                <w:sz w:val="18"/>
                <w:szCs w:val="18"/>
              </w:rPr>
            </w:pPr>
          </w:p>
        </w:tc>
        <w:tc>
          <w:tcPr>
            <w:tcW w:w="3920" w:type="dxa"/>
            <w:vAlign w:val="bottom"/>
          </w:tcPr>
          <w:p>
            <w:pPr>
              <w:widowControl/>
              <w:jc w:val="left"/>
              <w:rPr>
                <w:rFonts w:ascii="宋体" w:cs="宋体"/>
                <w:kern w:val="0"/>
                <w:sz w:val="18"/>
                <w:szCs w:val="18"/>
              </w:rPr>
            </w:pPr>
            <w:r>
              <w:rPr>
                <w:rFonts w:hint="eastAsia" w:ascii="宋体" w:hAnsi="宋体" w:cs="宋体"/>
                <w:kern w:val="0"/>
                <w:sz w:val="18"/>
                <w:szCs w:val="18"/>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2" w:hRule="atLeast"/>
        </w:trPr>
        <w:tc>
          <w:tcPr>
            <w:tcW w:w="9260" w:type="dxa"/>
            <w:gridSpan w:val="3"/>
            <w:vAlign w:val="center"/>
          </w:tcPr>
          <w:p>
            <w:pPr>
              <w:widowControl/>
              <w:jc w:val="left"/>
              <w:rPr>
                <w:rFonts w:ascii="宋体" w:cs="宋体"/>
                <w:kern w:val="0"/>
                <w:sz w:val="18"/>
                <w:szCs w:val="18"/>
              </w:rPr>
            </w:pPr>
            <w:r>
              <w:rPr>
                <w:rFonts w:hint="eastAsia" w:ascii="宋体" w:hAnsi="宋体" w:cs="宋体"/>
                <w:kern w:val="0"/>
                <w:sz w:val="18"/>
                <w:szCs w:val="18"/>
              </w:rPr>
              <w:t>填报说明：绩效指标必须量化和细化</w:t>
            </w:r>
            <w:r>
              <w:rPr>
                <w:rFonts w:ascii="宋体" w:cs="宋体"/>
                <w:kern w:val="0"/>
                <w:sz w:val="18"/>
                <w:szCs w:val="18"/>
              </w:rPr>
              <w:t>.</w:t>
            </w:r>
          </w:p>
        </w:tc>
      </w:tr>
    </w:tbl>
    <w:p>
      <w:pPr>
        <w:widowControl/>
        <w:tabs>
          <w:tab w:val="left" w:pos="2203"/>
          <w:tab w:val="left" w:pos="4145"/>
          <w:tab w:val="left" w:pos="5718"/>
          <w:tab w:val="left" w:pos="6938"/>
          <w:tab w:val="left" w:pos="8139"/>
        </w:tabs>
        <w:spacing w:line="540" w:lineRule="exact"/>
        <w:ind w:left="93"/>
        <w:jc w:val="left"/>
        <w:rPr>
          <w:rFonts w:ascii="黑体" w:hAnsi="Times New Roman" w:eastAsia="黑体"/>
          <w:kern w:val="0"/>
          <w:sz w:val="32"/>
          <w:szCs w:val="32"/>
        </w:rPr>
      </w:pPr>
    </w:p>
    <w:p>
      <w:pPr>
        <w:widowControl/>
        <w:tabs>
          <w:tab w:val="left" w:pos="2203"/>
          <w:tab w:val="left" w:pos="4145"/>
          <w:tab w:val="left" w:pos="5718"/>
          <w:tab w:val="left" w:pos="6938"/>
          <w:tab w:val="left" w:pos="8139"/>
        </w:tabs>
        <w:spacing w:line="540" w:lineRule="exact"/>
        <w:ind w:left="93"/>
        <w:jc w:val="left"/>
        <w:rPr>
          <w:rFonts w:ascii="Times New Roman" w:eastAsia="黑体"/>
          <w:kern w:val="0"/>
          <w:sz w:val="32"/>
          <w:szCs w:val="32"/>
        </w:rPr>
      </w:pPr>
    </w:p>
    <w:p>
      <w:pPr>
        <w:spacing w:line="540" w:lineRule="exact"/>
        <w:jc w:val="center"/>
        <w:rPr>
          <w:rFonts w:hint="eastAsia" w:eastAsia="方正小标宋_GBK"/>
          <w:sz w:val="36"/>
          <w:szCs w:val="36"/>
        </w:rPr>
      </w:pPr>
    </w:p>
    <w:p>
      <w:pPr>
        <w:spacing w:line="540" w:lineRule="exact"/>
        <w:jc w:val="center"/>
        <w:rPr>
          <w:rFonts w:hint="eastAsia" w:eastAsia="方正小标宋_GBK"/>
          <w:sz w:val="36"/>
          <w:szCs w:val="36"/>
        </w:rPr>
      </w:pPr>
    </w:p>
    <w:p>
      <w:pPr>
        <w:spacing w:line="540" w:lineRule="exact"/>
        <w:jc w:val="center"/>
        <w:rPr>
          <w:rFonts w:hint="eastAsia" w:eastAsia="方正小标宋_GBK"/>
          <w:sz w:val="36"/>
          <w:szCs w:val="36"/>
        </w:rPr>
      </w:pPr>
    </w:p>
    <w:p>
      <w:pPr>
        <w:spacing w:line="540" w:lineRule="exact"/>
        <w:jc w:val="center"/>
        <w:rPr>
          <w:rFonts w:hint="eastAsia" w:eastAsia="方正小标宋_GBK"/>
          <w:sz w:val="36"/>
          <w:szCs w:val="36"/>
        </w:rPr>
      </w:pPr>
    </w:p>
    <w:p>
      <w:pPr>
        <w:spacing w:line="540" w:lineRule="exact"/>
        <w:jc w:val="center"/>
        <w:rPr>
          <w:rFonts w:hint="eastAsia" w:eastAsia="方正小标宋_GBK"/>
          <w:sz w:val="36"/>
          <w:szCs w:val="36"/>
        </w:rPr>
      </w:pPr>
    </w:p>
    <w:p>
      <w:pPr>
        <w:spacing w:line="540" w:lineRule="exact"/>
        <w:jc w:val="center"/>
        <w:rPr>
          <w:rFonts w:hint="eastAsia" w:eastAsia="方正小标宋_GBK"/>
          <w:sz w:val="36"/>
          <w:szCs w:val="36"/>
        </w:rPr>
      </w:pPr>
    </w:p>
    <w:p>
      <w:pPr>
        <w:spacing w:line="540" w:lineRule="exact"/>
        <w:jc w:val="center"/>
        <w:rPr>
          <w:rFonts w:hint="eastAsia" w:eastAsia="方正小标宋_GBK"/>
          <w:sz w:val="36"/>
          <w:szCs w:val="36"/>
        </w:rPr>
      </w:pPr>
    </w:p>
    <w:p>
      <w:pPr>
        <w:spacing w:line="540" w:lineRule="exact"/>
        <w:jc w:val="center"/>
        <w:rPr>
          <w:rFonts w:hint="eastAsia" w:eastAsia="方正小标宋_GBK"/>
          <w:sz w:val="36"/>
          <w:szCs w:val="36"/>
        </w:rPr>
      </w:pPr>
    </w:p>
    <w:p>
      <w:pPr>
        <w:spacing w:line="540" w:lineRule="exact"/>
        <w:jc w:val="center"/>
        <w:rPr>
          <w:rFonts w:hint="eastAsia" w:eastAsia="方正小标宋_GBK"/>
          <w:sz w:val="36"/>
          <w:szCs w:val="36"/>
        </w:rPr>
      </w:pPr>
    </w:p>
    <w:p>
      <w:pPr>
        <w:spacing w:line="540" w:lineRule="exact"/>
        <w:jc w:val="center"/>
        <w:rPr>
          <w:rFonts w:hint="eastAsia" w:eastAsia="方正小标宋_GBK"/>
          <w:sz w:val="36"/>
          <w:szCs w:val="36"/>
        </w:rPr>
      </w:pPr>
    </w:p>
    <w:p>
      <w:pPr>
        <w:spacing w:line="540" w:lineRule="exact"/>
        <w:jc w:val="center"/>
        <w:rPr>
          <w:rFonts w:hint="eastAsia" w:eastAsia="方正小标宋_GBK"/>
          <w:sz w:val="36"/>
          <w:szCs w:val="36"/>
        </w:rPr>
      </w:pPr>
    </w:p>
    <w:p>
      <w:pPr>
        <w:spacing w:line="540" w:lineRule="exact"/>
        <w:jc w:val="center"/>
        <w:rPr>
          <w:rFonts w:hint="eastAsia" w:eastAsia="方正小标宋_GBK"/>
          <w:sz w:val="36"/>
          <w:szCs w:val="36"/>
        </w:rPr>
      </w:pPr>
    </w:p>
    <w:p>
      <w:pPr>
        <w:spacing w:line="540" w:lineRule="exact"/>
        <w:jc w:val="center"/>
        <w:rPr>
          <w:rFonts w:hint="eastAsia" w:eastAsia="方正小标宋_GBK"/>
          <w:sz w:val="36"/>
          <w:szCs w:val="36"/>
        </w:rPr>
      </w:pPr>
    </w:p>
    <w:p>
      <w:pPr>
        <w:spacing w:line="540" w:lineRule="exact"/>
        <w:jc w:val="center"/>
        <w:rPr>
          <w:rFonts w:hint="eastAsia" w:eastAsia="方正小标宋_GBK"/>
          <w:sz w:val="36"/>
          <w:szCs w:val="36"/>
        </w:rPr>
      </w:pPr>
    </w:p>
    <w:p>
      <w:pPr>
        <w:spacing w:line="540" w:lineRule="exact"/>
        <w:jc w:val="center"/>
        <w:rPr>
          <w:rFonts w:hint="eastAsia" w:eastAsia="方正小标宋_GBK"/>
          <w:sz w:val="36"/>
          <w:szCs w:val="36"/>
        </w:rPr>
      </w:pPr>
    </w:p>
    <w:p>
      <w:pPr>
        <w:spacing w:line="540" w:lineRule="exact"/>
        <w:jc w:val="both"/>
        <w:rPr>
          <w:rFonts w:eastAsia="方正小标宋_GBK"/>
          <w:sz w:val="36"/>
          <w:szCs w:val="36"/>
        </w:rPr>
      </w:pPr>
      <w:r>
        <w:rPr>
          <w:rFonts w:hint="eastAsia" w:eastAsia="方正小标宋_GBK"/>
          <w:sz w:val="36"/>
          <w:szCs w:val="36"/>
        </w:rPr>
        <w:t>《部门整体支出绩效目标申报表》填报说明</w:t>
      </w:r>
    </w:p>
    <w:p>
      <w:pPr>
        <w:spacing w:line="540" w:lineRule="exact"/>
        <w:jc w:val="center"/>
        <w:rPr>
          <w:rFonts w:eastAsia="仿宋_GB2312"/>
          <w:b/>
          <w:sz w:val="32"/>
          <w:szCs w:val="32"/>
        </w:rPr>
      </w:pPr>
    </w:p>
    <w:p>
      <w:pPr>
        <w:spacing w:line="600" w:lineRule="exact"/>
        <w:ind w:firstLine="31680" w:firstLineChars="196"/>
        <w:rPr>
          <w:rFonts w:eastAsia="黑体"/>
          <w:sz w:val="32"/>
          <w:szCs w:val="32"/>
        </w:rPr>
      </w:pPr>
      <w:r>
        <w:rPr>
          <w:rFonts w:hint="eastAsia" w:eastAsia="黑体"/>
          <w:sz w:val="32"/>
          <w:szCs w:val="32"/>
        </w:rPr>
        <w:t>一、基本信息</w:t>
      </w:r>
    </w:p>
    <w:p>
      <w:pPr>
        <w:spacing w:line="600" w:lineRule="exact"/>
        <w:ind w:firstLine="31680" w:firstLineChars="200"/>
        <w:rPr>
          <w:rFonts w:eastAsia="仿宋_GB2312"/>
          <w:color w:val="000000"/>
          <w:kern w:val="0"/>
          <w:sz w:val="32"/>
          <w:szCs w:val="32"/>
        </w:rPr>
      </w:pPr>
      <w:r>
        <w:rPr>
          <w:rFonts w:eastAsia="仿宋_GB2312"/>
          <w:color w:val="000000"/>
          <w:kern w:val="0"/>
          <w:sz w:val="32"/>
          <w:szCs w:val="32"/>
        </w:rPr>
        <w:t>1</w:t>
      </w:r>
      <w:r>
        <w:rPr>
          <w:rFonts w:hint="eastAsia" w:eastAsia="仿宋_GB2312"/>
          <w:color w:val="000000"/>
          <w:kern w:val="0"/>
          <w:sz w:val="32"/>
          <w:szCs w:val="32"/>
        </w:rPr>
        <w:t>、年度：填写编制部门预算所属的年份。如</w:t>
      </w:r>
      <w:r>
        <w:rPr>
          <w:rFonts w:eastAsia="仿宋_GB2312"/>
          <w:color w:val="000000"/>
          <w:kern w:val="0"/>
          <w:sz w:val="32"/>
          <w:szCs w:val="32"/>
        </w:rPr>
        <w:t>2016</w:t>
      </w:r>
      <w:r>
        <w:rPr>
          <w:rFonts w:hint="eastAsia" w:eastAsia="仿宋_GB2312"/>
          <w:color w:val="000000"/>
          <w:kern w:val="0"/>
          <w:sz w:val="32"/>
          <w:szCs w:val="32"/>
        </w:rPr>
        <w:t>年编制</w:t>
      </w:r>
      <w:r>
        <w:rPr>
          <w:rFonts w:eastAsia="仿宋_GB2312"/>
          <w:color w:val="000000"/>
          <w:kern w:val="0"/>
          <w:sz w:val="32"/>
          <w:szCs w:val="32"/>
        </w:rPr>
        <w:t>2017</w:t>
      </w:r>
      <w:r>
        <w:rPr>
          <w:rFonts w:hint="eastAsia" w:eastAsia="仿宋_GB2312"/>
          <w:color w:val="000000"/>
          <w:kern w:val="0"/>
          <w:sz w:val="32"/>
          <w:szCs w:val="32"/>
        </w:rPr>
        <w:t>年部门预算，填写</w:t>
      </w:r>
      <w:r>
        <w:rPr>
          <w:rFonts w:eastAsia="仿宋_GB2312"/>
          <w:color w:val="000000"/>
          <w:kern w:val="0"/>
          <w:sz w:val="32"/>
          <w:szCs w:val="32"/>
        </w:rPr>
        <w:t>“2017</w:t>
      </w:r>
      <w:r>
        <w:rPr>
          <w:rFonts w:hint="eastAsia" w:eastAsia="仿宋_GB2312"/>
          <w:color w:val="000000"/>
          <w:kern w:val="0"/>
          <w:sz w:val="32"/>
          <w:szCs w:val="32"/>
        </w:rPr>
        <w:t>年</w:t>
      </w:r>
      <w:r>
        <w:rPr>
          <w:rFonts w:eastAsia="仿宋_GB2312"/>
          <w:color w:val="000000"/>
          <w:kern w:val="0"/>
          <w:sz w:val="32"/>
          <w:szCs w:val="32"/>
        </w:rPr>
        <w:t>”</w:t>
      </w:r>
      <w:r>
        <w:rPr>
          <w:rFonts w:hint="eastAsia" w:eastAsia="仿宋_GB2312"/>
          <w:color w:val="000000"/>
          <w:kern w:val="0"/>
          <w:sz w:val="32"/>
          <w:szCs w:val="32"/>
        </w:rPr>
        <w:t>。</w:t>
      </w:r>
    </w:p>
    <w:p>
      <w:pPr>
        <w:spacing w:line="600" w:lineRule="exact"/>
        <w:ind w:firstLine="31680" w:firstLineChars="200"/>
        <w:rPr>
          <w:rFonts w:eastAsia="仿宋_GB2312"/>
          <w:color w:val="000000"/>
          <w:kern w:val="0"/>
          <w:sz w:val="32"/>
          <w:szCs w:val="32"/>
        </w:rPr>
      </w:pPr>
      <w:r>
        <w:rPr>
          <w:sz w:val="32"/>
          <w:szCs w:val="32"/>
        </w:rPr>
        <w:t>2</w:t>
      </w:r>
      <w:r>
        <w:rPr>
          <w:rFonts w:hint="eastAsia"/>
          <w:sz w:val="32"/>
          <w:szCs w:val="32"/>
        </w:rPr>
        <w:t>、</w:t>
      </w:r>
      <w:r>
        <w:rPr>
          <w:rFonts w:hint="eastAsia" w:eastAsia="仿宋_GB2312"/>
          <w:color w:val="000000"/>
          <w:kern w:val="0"/>
          <w:sz w:val="32"/>
          <w:szCs w:val="32"/>
        </w:rPr>
        <w:t>填报单位（盖章）：加盖填报单位公章。</w:t>
      </w:r>
    </w:p>
    <w:p>
      <w:pPr>
        <w:spacing w:line="600" w:lineRule="exact"/>
        <w:ind w:firstLine="31680" w:firstLineChars="200"/>
        <w:rPr>
          <w:rFonts w:eastAsia="仿宋_GB2312"/>
          <w:color w:val="000000"/>
          <w:kern w:val="0"/>
          <w:sz w:val="32"/>
          <w:szCs w:val="32"/>
        </w:rPr>
      </w:pPr>
      <w:r>
        <w:rPr>
          <w:rFonts w:eastAsia="仿宋_GB2312"/>
          <w:color w:val="000000"/>
          <w:kern w:val="0"/>
          <w:sz w:val="32"/>
          <w:szCs w:val="32"/>
        </w:rPr>
        <w:t>3</w:t>
      </w:r>
      <w:r>
        <w:rPr>
          <w:rFonts w:hint="eastAsia" w:eastAsia="仿宋_GB2312"/>
          <w:color w:val="000000"/>
          <w:kern w:val="0"/>
          <w:sz w:val="32"/>
          <w:szCs w:val="32"/>
        </w:rPr>
        <w:t>、年度预算申请：填写部门年度预算资金总额，并按收入预算和支出预算分别填写。收入预算包括公共财政拨款、政府性基金拨款、纳入专户管理的非税收入拨款和其他资金；支出预算包括基本支出和项目支出。</w:t>
      </w:r>
    </w:p>
    <w:p>
      <w:pPr>
        <w:spacing w:line="600" w:lineRule="exact"/>
        <w:ind w:firstLine="31680" w:firstLineChars="200"/>
        <w:rPr>
          <w:rFonts w:eastAsia="仿宋_GB2312"/>
          <w:color w:val="000000"/>
          <w:kern w:val="0"/>
          <w:sz w:val="32"/>
          <w:szCs w:val="32"/>
        </w:rPr>
      </w:pPr>
      <w:r>
        <w:rPr>
          <w:rFonts w:eastAsia="仿宋_GB2312"/>
          <w:color w:val="000000"/>
          <w:kern w:val="0"/>
          <w:sz w:val="32"/>
          <w:szCs w:val="32"/>
        </w:rPr>
        <w:t>4</w:t>
      </w:r>
      <w:r>
        <w:rPr>
          <w:rFonts w:hint="eastAsia" w:eastAsia="仿宋_GB2312"/>
          <w:color w:val="000000"/>
          <w:kern w:val="0"/>
          <w:sz w:val="32"/>
          <w:szCs w:val="32"/>
        </w:rPr>
        <w:t>、部门职能职责概述：</w:t>
      </w:r>
      <w:r>
        <w:rPr>
          <w:rFonts w:hint="eastAsia" w:eastAsia="仿宋_GB2312"/>
          <w:sz w:val="32"/>
          <w:szCs w:val="32"/>
        </w:rPr>
        <w:t>简要描述本部门的主要职能职责。</w:t>
      </w:r>
    </w:p>
    <w:p>
      <w:pPr>
        <w:spacing w:line="600" w:lineRule="exact"/>
        <w:ind w:firstLine="31680" w:firstLineChars="200"/>
        <w:rPr>
          <w:rFonts w:eastAsia="黑体"/>
          <w:color w:val="000000"/>
          <w:kern w:val="0"/>
          <w:sz w:val="32"/>
          <w:szCs w:val="32"/>
        </w:rPr>
      </w:pPr>
      <w:r>
        <w:rPr>
          <w:rFonts w:hint="eastAsia" w:eastAsia="黑体"/>
          <w:color w:val="000000"/>
          <w:kern w:val="0"/>
          <w:sz w:val="32"/>
          <w:szCs w:val="32"/>
        </w:rPr>
        <w:t>二、整体绩效目标</w:t>
      </w:r>
    </w:p>
    <w:p>
      <w:pPr>
        <w:spacing w:line="600" w:lineRule="exact"/>
        <w:ind w:firstLine="31680" w:firstLineChars="200"/>
        <w:rPr>
          <w:rFonts w:eastAsia="仿宋_GB2312"/>
          <w:sz w:val="32"/>
          <w:szCs w:val="32"/>
        </w:rPr>
      </w:pPr>
      <w:r>
        <w:rPr>
          <w:rFonts w:hint="eastAsia" w:eastAsia="仿宋_GB2312"/>
          <w:sz w:val="32"/>
          <w:szCs w:val="32"/>
        </w:rPr>
        <w:t>预算部门根据各级党委政府下达的工作任务及本部门发展规划，描述年度内部门使用预算资金达到的产出和效果。</w:t>
      </w:r>
    </w:p>
    <w:p>
      <w:pPr>
        <w:spacing w:line="600" w:lineRule="exact"/>
        <w:ind w:firstLine="31680" w:firstLineChars="200"/>
        <w:rPr>
          <w:rFonts w:eastAsia="黑体"/>
          <w:color w:val="000000"/>
          <w:kern w:val="0"/>
          <w:sz w:val="32"/>
          <w:szCs w:val="32"/>
        </w:rPr>
      </w:pPr>
      <w:r>
        <w:rPr>
          <w:rFonts w:hint="eastAsia" w:eastAsia="黑体"/>
          <w:color w:val="000000"/>
          <w:kern w:val="0"/>
          <w:sz w:val="32"/>
          <w:szCs w:val="32"/>
        </w:rPr>
        <w:t>三、部门整体支出年度绩效指标</w:t>
      </w:r>
    </w:p>
    <w:p>
      <w:pPr>
        <w:spacing w:line="600" w:lineRule="exact"/>
        <w:ind w:firstLine="31680" w:firstLineChars="200"/>
        <w:rPr>
          <w:rFonts w:eastAsia="仿宋_GB2312"/>
          <w:color w:val="000000"/>
          <w:kern w:val="0"/>
          <w:sz w:val="32"/>
          <w:szCs w:val="32"/>
        </w:rPr>
      </w:pPr>
      <w:r>
        <w:rPr>
          <w:rFonts w:hint="eastAsia" w:eastAsia="仿宋_GB2312"/>
          <w:color w:val="000000"/>
          <w:kern w:val="0"/>
          <w:sz w:val="32"/>
          <w:szCs w:val="32"/>
        </w:rPr>
        <w:t>部门整体支出年度绩效指标是对预算部门整体支出绩效目标的细化和量化，主要包括：</w:t>
      </w:r>
    </w:p>
    <w:p>
      <w:pPr>
        <w:spacing w:line="600" w:lineRule="exact"/>
        <w:ind w:firstLine="31680" w:firstLineChars="200"/>
        <w:rPr>
          <w:rFonts w:eastAsia="仿宋_GB2312"/>
          <w:color w:val="000000"/>
          <w:kern w:val="0"/>
          <w:sz w:val="32"/>
          <w:szCs w:val="32"/>
        </w:rPr>
      </w:pPr>
      <w:r>
        <w:rPr>
          <w:rFonts w:eastAsia="仿宋_GB2312"/>
          <w:color w:val="000000"/>
          <w:kern w:val="0"/>
          <w:sz w:val="32"/>
          <w:szCs w:val="32"/>
        </w:rPr>
        <w:t>1</w:t>
      </w:r>
      <w:r>
        <w:rPr>
          <w:rFonts w:hint="eastAsia" w:eastAsia="仿宋_GB2312"/>
          <w:color w:val="000000"/>
          <w:kern w:val="0"/>
          <w:sz w:val="32"/>
          <w:szCs w:val="32"/>
        </w:rPr>
        <w:t>、产出指标：反映部门根据既定目标计划完成的产品和服务情况。可进一步细分为：数量指标，反映部门计划完成的产品或服务数量；质量指标，反映部门计划提供产品或服务达到的标准、水平和效果；时效指标，反映部门计划提供产品或服务的及时程度和效率情况；成本指标，反映部门计划提供产品或服务所需成本。</w:t>
      </w:r>
    </w:p>
    <w:p>
      <w:pPr>
        <w:spacing w:line="600" w:lineRule="exact"/>
        <w:ind w:firstLine="31680" w:firstLineChars="200"/>
        <w:rPr>
          <w:rFonts w:eastAsia="仿宋_GB2312"/>
          <w:color w:val="000000"/>
          <w:kern w:val="0"/>
          <w:sz w:val="32"/>
          <w:szCs w:val="32"/>
        </w:rPr>
      </w:pPr>
      <w:r>
        <w:rPr>
          <w:rFonts w:eastAsia="仿宋_GB2312"/>
          <w:color w:val="000000"/>
          <w:kern w:val="0"/>
          <w:sz w:val="32"/>
          <w:szCs w:val="32"/>
        </w:rPr>
        <w:t>2</w:t>
      </w:r>
      <w:r>
        <w:rPr>
          <w:rFonts w:hint="eastAsia" w:eastAsia="仿宋_GB2312"/>
          <w:color w:val="000000"/>
          <w:kern w:val="0"/>
          <w:sz w:val="32"/>
          <w:szCs w:val="32"/>
        </w:rPr>
        <w:t>、效益指标：反映与既定绩效目标相关的、部门整体支出预期结果的实现程度和影响，包括经济效益指标、社会效益指标、生态效益指标、可持续影响指标、</w:t>
      </w:r>
      <w:r>
        <w:rPr>
          <w:rFonts w:hint="eastAsia" w:eastAsia="仿宋_GB2312"/>
          <w:sz w:val="32"/>
          <w:szCs w:val="32"/>
        </w:rPr>
        <w:t>社会公众或服务对象满意度指标</w:t>
      </w:r>
      <w:r>
        <w:rPr>
          <w:rFonts w:hint="eastAsia" w:eastAsia="仿宋_GB2312"/>
          <w:color w:val="000000"/>
          <w:kern w:val="0"/>
          <w:sz w:val="32"/>
          <w:szCs w:val="32"/>
        </w:rPr>
        <w:t>等。</w:t>
      </w:r>
    </w:p>
    <w:p>
      <w:pPr>
        <w:spacing w:line="600" w:lineRule="exact"/>
        <w:ind w:firstLine="31680" w:firstLineChars="200"/>
        <w:rPr>
          <w:rFonts w:eastAsia="仿宋_GB2312"/>
          <w:color w:val="000000"/>
          <w:kern w:val="0"/>
          <w:sz w:val="32"/>
          <w:szCs w:val="32"/>
        </w:rPr>
      </w:pPr>
      <w:r>
        <w:rPr>
          <w:rFonts w:eastAsia="仿宋_GB2312"/>
          <w:color w:val="000000"/>
          <w:kern w:val="0"/>
          <w:sz w:val="32"/>
          <w:szCs w:val="32"/>
        </w:rPr>
        <w:t>3</w:t>
      </w:r>
      <w:r>
        <w:rPr>
          <w:rFonts w:hint="eastAsia" w:eastAsia="仿宋_GB2312"/>
          <w:color w:val="000000"/>
          <w:kern w:val="0"/>
          <w:sz w:val="32"/>
          <w:szCs w:val="32"/>
        </w:rPr>
        <w:t>、实际操作中确定的部门整体支出绩效指标具体内容，各部门可根据预算绩效管理工作的需要，在上述指标中选取或做另行补充。</w:t>
      </w:r>
    </w:p>
    <w:p>
      <w:pPr>
        <w:rPr>
          <w:b/>
          <w:bCs/>
          <w:color w:val="FF0000"/>
          <w:sz w:val="44"/>
          <w:szCs w:val="44"/>
          <w:highlight w:val="yellow"/>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A00002EF" w:usb1="4000207B" w:usb2="00000000" w:usb3="00000000" w:csb0="2000009F" w:csb1="00000000"/>
  </w:font>
  <w:font w:name="方正小标宋_GBK">
    <w:altName w:val="微软雅黑"/>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0F3C52" w:usb2="00000016" w:usb3="00000000" w:csb0="0004001F" w:csb1="00000000"/>
  </w:font>
  <w:font w:name="仿宋">
    <w:altName w:val="宋体"/>
    <w:panose1 w:val="02010609060101010101"/>
    <w:charset w:val="86"/>
    <w:family w:val="auto"/>
    <w:pitch w:val="default"/>
    <w:sig w:usb0="00000000" w:usb1="00000000" w:usb2="00000016" w:usb3="00000000" w:csb0="00040001" w:csb1="00000000"/>
  </w:font>
  <w:font w:name="楷体">
    <w:altName w:val="宋体"/>
    <w:panose1 w:val="02010609060101010101"/>
    <w:charset w:val="86"/>
    <w:family w:val="modern"/>
    <w:pitch w:val="default"/>
    <w:sig w:usb0="00000000" w:usb1="00000000" w:usb2="00000016" w:usb3="00000000" w:csb0="00040001" w:csb1="00000000"/>
  </w:font>
  <w:font w:name="新宋体">
    <w:panose1 w:val="02010609030101010101"/>
    <w:charset w:val="86"/>
    <w:family w:val="modern"/>
    <w:pitch w:val="default"/>
    <w:sig w:usb0="00000003" w:usb1="080E0000" w:usb2="00000000" w:usb3="00000000" w:csb0="00040001" w:csb1="00000000"/>
  </w:font>
  <w:font w:name="ˎ̥">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auto"/>
    <w:pitch w:val="default"/>
    <w:sig w:usb0="61007A87" w:usb1="80000000" w:usb2="00000008" w:usb3="00000000" w:csb0="200101FF" w:csb1="20280000"/>
  </w:font>
  <w:font w:name="Arial">
    <w:panose1 w:val="020B0604020202020204"/>
    <w:charset w:val="00"/>
    <w:family w:val="auto"/>
    <w:pitch w:val="default"/>
    <w:sig w:usb0="00007A87" w:usb1="80000000" w:usb2="00000008"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C1A5B3A"/>
    <w:rsid w:val="00037A61"/>
    <w:rsid w:val="000E5171"/>
    <w:rsid w:val="00133B1F"/>
    <w:rsid w:val="001A6A81"/>
    <w:rsid w:val="00412E78"/>
    <w:rsid w:val="00423BBD"/>
    <w:rsid w:val="004B1DC6"/>
    <w:rsid w:val="005A6F98"/>
    <w:rsid w:val="006C1826"/>
    <w:rsid w:val="007B7A3A"/>
    <w:rsid w:val="007C144B"/>
    <w:rsid w:val="008D79AF"/>
    <w:rsid w:val="00902A80"/>
    <w:rsid w:val="009731C0"/>
    <w:rsid w:val="00977782"/>
    <w:rsid w:val="009870EE"/>
    <w:rsid w:val="00C46F6E"/>
    <w:rsid w:val="00CA589D"/>
    <w:rsid w:val="00E91427"/>
    <w:rsid w:val="02363354"/>
    <w:rsid w:val="02FB7F26"/>
    <w:rsid w:val="0C1A5B3A"/>
    <w:rsid w:val="152B68F5"/>
    <w:rsid w:val="17D10501"/>
    <w:rsid w:val="20987A16"/>
    <w:rsid w:val="2A181956"/>
    <w:rsid w:val="380245A4"/>
    <w:rsid w:val="40FF034E"/>
    <w:rsid w:val="42C32066"/>
    <w:rsid w:val="46CB5967"/>
    <w:rsid w:val="518A594D"/>
    <w:rsid w:val="5409787D"/>
    <w:rsid w:val="5D3A25A0"/>
  </w:rsids>
  <m:mathPr>
    <m:lMargin m:val="0"/>
    <m:mathFont m:val="Cambria Math"/>
    <m:rMargin m:val="0"/>
    <m:wrapIndent m:val="1440"/>
    <m:brkBin m:val="before"/>
    <m:brkBinSub m:val="--"/>
    <m:defJc m:val="centerGroup"/>
    <m:intLim m:val="subSup"/>
    <m:naryLim m:val="undOvr"/>
    <m:smallFrac m:val="off"/>
    <m:dispDef/>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99"/>
  </w:style>
  <w:style w:type="table" w:default="1" w:styleId="9">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10"/>
    <w:qFormat/>
    <w:uiPriority w:val="99"/>
    <w:rPr>
      <w:sz w:val="18"/>
      <w:szCs w:val="18"/>
    </w:rPr>
  </w:style>
  <w:style w:type="paragraph" w:styleId="3">
    <w:name w:val="footer"/>
    <w:basedOn w:val="1"/>
    <w:link w:val="12"/>
    <w:qFormat/>
    <w:uiPriority w:val="99"/>
    <w:pPr>
      <w:tabs>
        <w:tab w:val="center" w:pos="4153"/>
        <w:tab w:val="right" w:pos="8306"/>
      </w:tabs>
      <w:snapToGrid w:val="0"/>
      <w:jc w:val="left"/>
    </w:pPr>
    <w:rPr>
      <w:sz w:val="18"/>
      <w:szCs w:val="18"/>
    </w:rPr>
  </w:style>
  <w:style w:type="paragraph" w:styleId="4">
    <w:name w:val="header"/>
    <w:basedOn w:val="1"/>
    <w:link w:val="11"/>
    <w:qFormat/>
    <w:uiPriority w:val="99"/>
    <w:pPr>
      <w:pBdr>
        <w:bottom w:val="single" w:color="auto" w:sz="6" w:space="1"/>
      </w:pBdr>
      <w:tabs>
        <w:tab w:val="center" w:pos="4153"/>
        <w:tab w:val="right" w:pos="8306"/>
      </w:tabs>
      <w:snapToGrid w:val="0"/>
      <w:jc w:val="center"/>
    </w:pPr>
    <w:rPr>
      <w:sz w:val="18"/>
      <w:szCs w:val="18"/>
    </w:rPr>
  </w:style>
  <w:style w:type="character" w:styleId="6">
    <w:name w:val="FollowedHyperlink"/>
    <w:basedOn w:val="5"/>
    <w:unhideWhenUsed/>
    <w:uiPriority w:val="99"/>
    <w:rPr>
      <w:color w:val="333333"/>
      <w:u w:val="none"/>
      <w:bdr w:val="none" w:color="auto" w:sz="0" w:space="0"/>
    </w:rPr>
  </w:style>
  <w:style w:type="character" w:styleId="7">
    <w:name w:val="Emphasis"/>
    <w:basedOn w:val="5"/>
    <w:qFormat/>
    <w:locked/>
    <w:uiPriority w:val="0"/>
    <w:rPr>
      <w:rFonts w:hint="eastAsia" w:ascii="宋体" w:hAnsi="宋体" w:eastAsia="宋体" w:cs="宋体"/>
      <w:bdr w:val="none" w:color="auto" w:sz="0" w:space="0"/>
    </w:rPr>
  </w:style>
  <w:style w:type="character" w:styleId="8">
    <w:name w:val="Hyperlink"/>
    <w:basedOn w:val="5"/>
    <w:unhideWhenUsed/>
    <w:uiPriority w:val="99"/>
    <w:rPr>
      <w:color w:val="333333"/>
      <w:u w:val="none"/>
      <w:bdr w:val="none" w:color="auto" w:sz="0" w:space="0"/>
    </w:rPr>
  </w:style>
  <w:style w:type="character" w:customStyle="1" w:styleId="10">
    <w:name w:val="Balloon Text Char"/>
    <w:basedOn w:val="5"/>
    <w:link w:val="2"/>
    <w:qFormat/>
    <w:locked/>
    <w:uiPriority w:val="99"/>
    <w:rPr>
      <w:rFonts w:ascii="Calibri" w:hAnsi="Calibri" w:eastAsia="宋体" w:cs="Times New Roman"/>
      <w:kern w:val="2"/>
      <w:sz w:val="18"/>
      <w:szCs w:val="18"/>
    </w:rPr>
  </w:style>
  <w:style w:type="character" w:customStyle="1" w:styleId="11">
    <w:name w:val="Header Char"/>
    <w:basedOn w:val="5"/>
    <w:link w:val="4"/>
    <w:qFormat/>
    <w:locked/>
    <w:uiPriority w:val="99"/>
    <w:rPr>
      <w:rFonts w:ascii="Calibri" w:hAnsi="Calibri" w:eastAsia="宋体" w:cs="Times New Roman"/>
      <w:kern w:val="2"/>
      <w:sz w:val="18"/>
      <w:szCs w:val="18"/>
    </w:rPr>
  </w:style>
  <w:style w:type="character" w:customStyle="1" w:styleId="12">
    <w:name w:val="Footer Char"/>
    <w:basedOn w:val="5"/>
    <w:link w:val="3"/>
    <w:qFormat/>
    <w:locked/>
    <w:uiPriority w:val="99"/>
    <w:rPr>
      <w:rFonts w:ascii="Calibri" w:hAnsi="Calibri" w:eastAsia="宋体" w:cs="Times New Roman"/>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Pages>3</Pages>
  <Words>176</Words>
  <Characters>1007</Characters>
  <Lines>0</Lines>
  <Paragraphs>0</Paragraphs>
  <ScaleCrop>false</ScaleCrop>
  <LinksUpToDate>false</LinksUpToDate>
  <CharactersWithSpaces>0</CharactersWithSpaces>
  <Application>WPS Office_10.1.0.6207_F1E327BC-269C-435d-A152-05C5408002CA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2016-05-18T07:33:00Z</dcterms:created>
  <dc:creator>bitch</dc:creator>
  <cp:lastModifiedBy>Administrator</cp:lastModifiedBy>
  <cp:lastPrinted>2017-04-18T07:07:00Z</cp:lastPrinted>
  <dcterms:modified xsi:type="dcterms:W3CDTF">2017-04-19T02:21:35Z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2052-10.1.0.6207</vt:lpwstr>
  </property>
</Properties>
</file>