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jc w:val="center"/>
        <w:rPr>
          <w:rFonts w:eastAsia="楷体_GB2312"/>
          <w:bCs/>
          <w:kern w:val="0"/>
          <w:sz w:val="32"/>
          <w:szCs w:val="32"/>
        </w:rPr>
      </w:pPr>
      <w:r>
        <w:rPr>
          <w:rFonts w:hint="eastAsia" w:eastAsia="方正小标宋_GBK"/>
          <w:bCs/>
          <w:kern w:val="0"/>
          <w:sz w:val="36"/>
          <w:szCs w:val="36"/>
        </w:rPr>
        <w:t>专项资金绩效目标申报表</w:t>
      </w:r>
      <w:r>
        <w:rPr>
          <w:rFonts w:eastAsia="方正小标宋_GBK"/>
          <w:bCs/>
          <w:kern w:val="0"/>
          <w:sz w:val="36"/>
          <w:szCs w:val="36"/>
        </w:rPr>
        <w:br w:type="textWrapping"/>
      </w:r>
      <w:r>
        <w:rPr>
          <w:rFonts w:hint="eastAsia" w:eastAsia="楷体_GB2312"/>
          <w:bCs/>
          <w:kern w:val="0"/>
          <w:sz w:val="32"/>
          <w:szCs w:val="32"/>
        </w:rPr>
        <w:t>（</w:t>
      </w:r>
      <w:r>
        <w:rPr>
          <w:rFonts w:eastAsia="楷体_GB2312"/>
          <w:bCs/>
          <w:kern w:val="0"/>
          <w:sz w:val="32"/>
          <w:szCs w:val="32"/>
        </w:rPr>
        <w:t xml:space="preserve"> </w:t>
      </w:r>
      <w:r>
        <w:rPr>
          <w:rFonts w:hint="eastAsia" w:eastAsia="楷体_GB2312"/>
          <w:bCs/>
          <w:kern w:val="0"/>
          <w:sz w:val="32"/>
          <w:szCs w:val="32"/>
        </w:rPr>
        <w:t>201</w:t>
      </w:r>
      <w:r>
        <w:rPr>
          <w:rFonts w:hint="eastAsia" w:eastAsia="楷体_GB2312"/>
          <w:bCs/>
          <w:kern w:val="0"/>
          <w:sz w:val="32"/>
          <w:szCs w:val="32"/>
          <w:lang w:val="en-US" w:eastAsia="zh-CN"/>
        </w:rPr>
        <w:t>7</w:t>
      </w:r>
      <w:r>
        <w:rPr>
          <w:rFonts w:eastAsia="楷体_GB2312"/>
          <w:bCs/>
          <w:kern w:val="0"/>
          <w:sz w:val="32"/>
          <w:szCs w:val="32"/>
        </w:rPr>
        <w:t xml:space="preserve">  </w:t>
      </w:r>
      <w:r>
        <w:rPr>
          <w:rFonts w:hint="eastAsia" w:eastAsia="楷体_GB2312"/>
          <w:bCs/>
          <w:kern w:val="0"/>
          <w:sz w:val="32"/>
          <w:szCs w:val="32"/>
        </w:rPr>
        <w:t>年度）</w:t>
      </w:r>
    </w:p>
    <w:p>
      <w:pPr>
        <w:widowControl/>
        <w:jc w:val="left"/>
        <w:rPr>
          <w:kern w:val="0"/>
          <w:sz w:val="20"/>
          <w:szCs w:val="20"/>
        </w:rPr>
      </w:pPr>
      <w:r>
        <w:rPr>
          <w:rFonts w:hint="eastAsia"/>
          <w:kern w:val="0"/>
          <w:sz w:val="20"/>
          <w:szCs w:val="20"/>
        </w:rPr>
        <w:t>填报单位（盖章）</w:t>
      </w:r>
    </w:p>
    <w:tbl>
      <w:tblPr>
        <w:tblStyle w:val="5"/>
        <w:tblW w:w="952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0"/>
        <w:gridCol w:w="750"/>
        <w:gridCol w:w="1770"/>
        <w:gridCol w:w="590"/>
        <w:gridCol w:w="2000"/>
        <w:gridCol w:w="35"/>
        <w:gridCol w:w="1125"/>
        <w:gridCol w:w="30"/>
        <w:gridCol w:w="550"/>
        <w:gridCol w:w="19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3" w:hRule="atLeast"/>
          <w:jc w:val="center"/>
        </w:trPr>
        <w:tc>
          <w:tcPr>
            <w:tcW w:w="14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eastAsia="黑体"/>
                <w:kern w:val="0"/>
                <w:szCs w:val="21"/>
              </w:rPr>
            </w:pPr>
            <w:r>
              <w:rPr>
                <w:rFonts w:hint="eastAsia" w:eastAsia="黑体"/>
                <w:kern w:val="0"/>
                <w:szCs w:val="21"/>
              </w:rPr>
              <w:t>专项名称</w:t>
            </w:r>
          </w:p>
        </w:tc>
        <w:tc>
          <w:tcPr>
            <w:tcW w:w="23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/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城乡居民基本养老保险省级财政补贴项目</w:t>
            </w:r>
          </w:p>
        </w:tc>
        <w:tc>
          <w:tcPr>
            <w:tcW w:w="20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eastAsia="黑体"/>
                <w:kern w:val="0"/>
                <w:szCs w:val="21"/>
              </w:rPr>
            </w:pPr>
            <w:r>
              <w:rPr>
                <w:rFonts w:hint="eastAsia" w:eastAsia="黑体"/>
                <w:kern w:val="0"/>
                <w:szCs w:val="21"/>
              </w:rPr>
              <w:t>专项属性</w:t>
            </w:r>
          </w:p>
        </w:tc>
        <w:tc>
          <w:tcPr>
            <w:tcW w:w="370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延续专项</w:t>
            </w:r>
            <w:r>
              <w:rPr>
                <w:rFonts w:hint="eastAsia" w:ascii="宋体" w:hAnsi="宋体"/>
                <w:kern w:val="0"/>
                <w:szCs w:val="21"/>
              </w:rPr>
              <w:t>□</w:t>
            </w:r>
            <w:r>
              <w:rPr>
                <w:kern w:val="0"/>
                <w:szCs w:val="21"/>
              </w:rPr>
              <w:t xml:space="preserve">     </w:t>
            </w:r>
            <w:r>
              <w:rPr>
                <w:rFonts w:hint="eastAsia"/>
                <w:kern w:val="0"/>
                <w:szCs w:val="21"/>
              </w:rPr>
              <w:t>新增专项</w:t>
            </w:r>
            <w:r>
              <w:rPr>
                <w:rFonts w:hint="eastAsia" w:ascii="宋体" w:hAnsi="宋体"/>
                <w:kern w:val="0"/>
                <w:szCs w:val="21"/>
              </w:rPr>
              <w:t>□</w:t>
            </w:r>
            <w:r>
              <w:rPr>
                <w:kern w:val="0"/>
                <w:szCs w:val="21"/>
              </w:rPr>
              <w:t xml:space="preserve">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9" w:hRule="atLeast"/>
          <w:jc w:val="center"/>
        </w:trPr>
        <w:tc>
          <w:tcPr>
            <w:tcW w:w="14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eastAsia="黑体"/>
                <w:kern w:val="0"/>
                <w:szCs w:val="21"/>
              </w:rPr>
            </w:pPr>
            <w:r>
              <w:rPr>
                <w:rFonts w:hint="eastAsia" w:eastAsia="黑体"/>
                <w:kern w:val="0"/>
                <w:szCs w:val="21"/>
              </w:rPr>
              <w:t>部门名称</w:t>
            </w:r>
          </w:p>
        </w:tc>
        <w:tc>
          <w:tcPr>
            <w:tcW w:w="23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/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城步县城乡居民社会养老保险管理站</w:t>
            </w:r>
          </w:p>
        </w:tc>
        <w:tc>
          <w:tcPr>
            <w:tcW w:w="20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eastAsia="黑体"/>
                <w:kern w:val="0"/>
                <w:szCs w:val="21"/>
              </w:rPr>
            </w:pPr>
            <w:r>
              <w:rPr>
                <w:rFonts w:hint="eastAsia" w:eastAsia="黑体"/>
                <w:kern w:val="0"/>
                <w:szCs w:val="21"/>
              </w:rPr>
              <w:t>资金总额（万元）</w:t>
            </w:r>
          </w:p>
        </w:tc>
        <w:tc>
          <w:tcPr>
            <w:tcW w:w="370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/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  <w:lang w:val="en-US" w:eastAsia="zh-CN"/>
              </w:rPr>
              <w:t>3314.2</w:t>
            </w:r>
            <w:r>
              <w:rPr>
                <w:rFonts w:hint="eastAsia"/>
                <w:kern w:val="0"/>
                <w:szCs w:val="21"/>
              </w:rPr>
              <w:t>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  <w:jc w:val="center"/>
        </w:trPr>
        <w:tc>
          <w:tcPr>
            <w:tcW w:w="14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黑体" w:eastAsia="黑体"/>
                <w:kern w:val="0"/>
                <w:szCs w:val="21"/>
              </w:rPr>
            </w:pPr>
            <w:r>
              <w:rPr>
                <w:rFonts w:hint="eastAsia" w:ascii="黑体" w:eastAsia="黑体"/>
                <w:kern w:val="0"/>
                <w:szCs w:val="21"/>
              </w:rPr>
              <w:t>部门相应职能职责概述</w:t>
            </w:r>
          </w:p>
        </w:tc>
        <w:tc>
          <w:tcPr>
            <w:tcW w:w="806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/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城乡居民养老保险的参保登记、基金征缴、个帐管理、待遇核发等业务。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1" w:hRule="atLeast"/>
          <w:jc w:val="center"/>
        </w:trPr>
        <w:tc>
          <w:tcPr>
            <w:tcW w:w="14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黑体" w:eastAsia="黑体"/>
                <w:kern w:val="0"/>
                <w:szCs w:val="21"/>
              </w:rPr>
            </w:pPr>
            <w:r>
              <w:rPr>
                <w:rFonts w:hint="eastAsia" w:ascii="黑体" w:eastAsia="黑体"/>
                <w:kern w:val="0"/>
                <w:szCs w:val="21"/>
              </w:rPr>
              <w:t>专项立项</w:t>
            </w:r>
          </w:p>
          <w:p>
            <w:pPr>
              <w:widowControl/>
              <w:spacing w:line="280" w:lineRule="exact"/>
              <w:jc w:val="center"/>
              <w:rPr>
                <w:rFonts w:ascii="黑体" w:eastAsia="黑体"/>
                <w:kern w:val="0"/>
                <w:szCs w:val="21"/>
              </w:rPr>
            </w:pPr>
            <w:r>
              <w:rPr>
                <w:rFonts w:hint="eastAsia" w:ascii="黑体" w:eastAsia="黑体"/>
                <w:kern w:val="0"/>
                <w:szCs w:val="21"/>
              </w:rPr>
              <w:t>依据</w:t>
            </w:r>
          </w:p>
        </w:tc>
        <w:tc>
          <w:tcPr>
            <w:tcW w:w="806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/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《城步苗族自治县城乡居民基本养老保险实施办法》（城政办发[2014]53号文件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1460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eastAsia="黑体"/>
                <w:kern w:val="0"/>
                <w:szCs w:val="21"/>
              </w:rPr>
            </w:pPr>
            <w:r>
              <w:rPr>
                <w:rFonts w:hint="eastAsia" w:eastAsia="黑体"/>
                <w:kern w:val="0"/>
                <w:szCs w:val="21"/>
              </w:rPr>
              <w:t>专项实施进度计划</w:t>
            </w: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专项实施内容</w:t>
            </w:r>
          </w:p>
        </w:tc>
        <w:tc>
          <w:tcPr>
            <w:tcW w:w="375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计划开始时间</w:t>
            </w:r>
          </w:p>
        </w:tc>
        <w:tc>
          <w:tcPr>
            <w:tcW w:w="25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计划完成时间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146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eastAsia="黑体"/>
                <w:kern w:val="0"/>
                <w:szCs w:val="21"/>
              </w:rPr>
            </w:pP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1</w:t>
            </w:r>
            <w:r>
              <w:rPr>
                <w:rFonts w:hint="eastAsia"/>
                <w:kern w:val="0"/>
                <w:szCs w:val="21"/>
              </w:rPr>
              <w:t>、</w:t>
            </w:r>
          </w:p>
        </w:tc>
        <w:tc>
          <w:tcPr>
            <w:tcW w:w="375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201</w:t>
            </w:r>
            <w:r>
              <w:rPr>
                <w:rFonts w:hint="eastAsia"/>
                <w:kern w:val="0"/>
                <w:szCs w:val="21"/>
                <w:lang w:val="en-US" w:eastAsia="zh-CN"/>
              </w:rPr>
              <w:t>7</w:t>
            </w:r>
            <w:r>
              <w:rPr>
                <w:rFonts w:hint="eastAsia"/>
                <w:kern w:val="0"/>
                <w:szCs w:val="21"/>
              </w:rPr>
              <w:t>年1月</w:t>
            </w:r>
          </w:p>
        </w:tc>
        <w:tc>
          <w:tcPr>
            <w:tcW w:w="25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201</w:t>
            </w:r>
            <w:r>
              <w:rPr>
                <w:rFonts w:hint="eastAsia"/>
                <w:kern w:val="0"/>
                <w:szCs w:val="21"/>
                <w:lang w:val="en-US" w:eastAsia="zh-CN"/>
              </w:rPr>
              <w:t>7</w:t>
            </w:r>
            <w:r>
              <w:rPr>
                <w:rFonts w:hint="eastAsia"/>
                <w:kern w:val="0"/>
                <w:szCs w:val="21"/>
              </w:rPr>
              <w:t>年12月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146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eastAsia="黑体"/>
                <w:kern w:val="0"/>
                <w:szCs w:val="21"/>
              </w:rPr>
            </w:pP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2</w:t>
            </w:r>
            <w:r>
              <w:rPr>
                <w:rFonts w:hint="eastAsia"/>
                <w:kern w:val="0"/>
                <w:szCs w:val="21"/>
              </w:rPr>
              <w:t>、</w:t>
            </w:r>
          </w:p>
        </w:tc>
        <w:tc>
          <w:tcPr>
            <w:tcW w:w="375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　</w:t>
            </w:r>
          </w:p>
        </w:tc>
        <w:tc>
          <w:tcPr>
            <w:tcW w:w="25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  <w:jc w:val="center"/>
        </w:trPr>
        <w:tc>
          <w:tcPr>
            <w:tcW w:w="146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eastAsia="黑体"/>
                <w:kern w:val="0"/>
                <w:szCs w:val="21"/>
              </w:rPr>
            </w:pP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……</w:t>
            </w:r>
          </w:p>
        </w:tc>
        <w:tc>
          <w:tcPr>
            <w:tcW w:w="378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rPr>
                <w:kern w:val="0"/>
                <w:szCs w:val="21"/>
              </w:rPr>
            </w:pPr>
          </w:p>
        </w:tc>
        <w:tc>
          <w:tcPr>
            <w:tcW w:w="25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rPr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  <w:jc w:val="center"/>
        </w:trPr>
        <w:tc>
          <w:tcPr>
            <w:tcW w:w="14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eastAsia="黑体"/>
                <w:kern w:val="0"/>
                <w:szCs w:val="21"/>
              </w:rPr>
            </w:pPr>
            <w:r>
              <w:rPr>
                <w:rFonts w:hint="eastAsia" w:eastAsia="黑体"/>
                <w:kern w:val="0"/>
                <w:szCs w:val="21"/>
              </w:rPr>
              <w:t>专项长期绩效目标</w:t>
            </w:r>
          </w:p>
        </w:tc>
        <w:tc>
          <w:tcPr>
            <w:tcW w:w="806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rPr>
                <w:rFonts w:hint="eastAsia"/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逐年对当年度城乡居民养老保险参保缴费人员进行财政补贴，年初预拔，年底按实结算。确保参保缴人员享受政策规定的补贴。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14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eastAsia="黑体"/>
                <w:kern w:val="0"/>
                <w:szCs w:val="21"/>
              </w:rPr>
            </w:pPr>
            <w:r>
              <w:rPr>
                <w:rFonts w:hint="eastAsia" w:eastAsia="黑体"/>
                <w:kern w:val="0"/>
                <w:szCs w:val="21"/>
              </w:rPr>
              <w:t>专项年度绩效目标</w:t>
            </w:r>
          </w:p>
        </w:tc>
        <w:tc>
          <w:tcPr>
            <w:tcW w:w="806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rPr>
                <w:rFonts w:hint="eastAsia"/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201</w:t>
            </w:r>
            <w:r>
              <w:rPr>
                <w:rFonts w:hint="eastAsia"/>
                <w:kern w:val="0"/>
                <w:szCs w:val="21"/>
                <w:lang w:val="en-US" w:eastAsia="zh-CN"/>
              </w:rPr>
              <w:t>7</w:t>
            </w:r>
            <w:r>
              <w:rPr>
                <w:rFonts w:hint="eastAsia"/>
                <w:kern w:val="0"/>
                <w:szCs w:val="21"/>
              </w:rPr>
              <w:t>年度争取缴费人数达到8万人，待遇发放人数实现</w:t>
            </w:r>
            <w:bookmarkStart w:id="0" w:name="_GoBack"/>
            <w:bookmarkEnd w:id="0"/>
            <w:r>
              <w:rPr>
                <w:rFonts w:hint="eastAsia"/>
                <w:kern w:val="0"/>
                <w:szCs w:val="21"/>
              </w:rPr>
              <w:t>应发尽发。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3" w:hRule="atLeast"/>
          <w:jc w:val="center"/>
        </w:trPr>
        <w:tc>
          <w:tcPr>
            <w:tcW w:w="71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eastAsia="黑体"/>
                <w:kern w:val="0"/>
                <w:szCs w:val="21"/>
              </w:rPr>
            </w:pPr>
            <w:r>
              <w:rPr>
                <w:rFonts w:hint="eastAsia" w:eastAsia="黑体"/>
                <w:kern w:val="0"/>
                <w:szCs w:val="21"/>
              </w:rPr>
              <w:t>专项年度绩效指标</w:t>
            </w:r>
          </w:p>
        </w:tc>
        <w:tc>
          <w:tcPr>
            <w:tcW w:w="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一级指标</w:t>
            </w: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二级指标</w:t>
            </w:r>
          </w:p>
        </w:tc>
        <w:tc>
          <w:tcPr>
            <w:tcW w:w="262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指标内容</w:t>
            </w:r>
          </w:p>
        </w:tc>
        <w:tc>
          <w:tcPr>
            <w:tcW w:w="170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指标值</w:t>
            </w:r>
          </w:p>
        </w:tc>
        <w:tc>
          <w:tcPr>
            <w:tcW w:w="1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71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eastAsia="黑体"/>
                <w:kern w:val="0"/>
                <w:szCs w:val="21"/>
              </w:rPr>
            </w:pPr>
          </w:p>
        </w:tc>
        <w:tc>
          <w:tcPr>
            <w:tcW w:w="75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widowControl/>
              <w:spacing w:line="280" w:lineRule="exact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产出指标</w:t>
            </w: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数量指标</w:t>
            </w:r>
          </w:p>
        </w:tc>
        <w:tc>
          <w:tcPr>
            <w:tcW w:w="262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/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参保人员县级财政补贴</w:t>
            </w:r>
          </w:p>
        </w:tc>
        <w:tc>
          <w:tcPr>
            <w:tcW w:w="170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/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12元/人/年、16元/人/年、24元/人/年</w:t>
            </w:r>
          </w:p>
        </w:tc>
        <w:tc>
          <w:tcPr>
            <w:tcW w:w="1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按不同缴费标准定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" w:hRule="atLeast"/>
          <w:jc w:val="center"/>
        </w:trPr>
        <w:tc>
          <w:tcPr>
            <w:tcW w:w="71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eastAsia="黑体"/>
                <w:kern w:val="0"/>
                <w:szCs w:val="21"/>
              </w:rPr>
            </w:pPr>
          </w:p>
        </w:tc>
        <w:tc>
          <w:tcPr>
            <w:tcW w:w="7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kern w:val="0"/>
                <w:szCs w:val="21"/>
              </w:rPr>
            </w:pP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质量指标</w:t>
            </w:r>
          </w:p>
        </w:tc>
        <w:tc>
          <w:tcPr>
            <w:tcW w:w="262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　待遇领取人员县级财政补贴</w:t>
            </w:r>
          </w:p>
        </w:tc>
        <w:tc>
          <w:tcPr>
            <w:tcW w:w="170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/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1.5元/人</w:t>
            </w:r>
          </w:p>
        </w:tc>
        <w:tc>
          <w:tcPr>
            <w:tcW w:w="1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5" w:hRule="atLeast"/>
          <w:jc w:val="center"/>
        </w:trPr>
        <w:tc>
          <w:tcPr>
            <w:tcW w:w="71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eastAsia="黑体"/>
                <w:kern w:val="0"/>
                <w:szCs w:val="21"/>
              </w:rPr>
            </w:pPr>
          </w:p>
        </w:tc>
        <w:tc>
          <w:tcPr>
            <w:tcW w:w="7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kern w:val="0"/>
                <w:szCs w:val="21"/>
              </w:rPr>
            </w:pP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时效指标</w:t>
            </w:r>
          </w:p>
        </w:tc>
        <w:tc>
          <w:tcPr>
            <w:tcW w:w="262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　</w:t>
            </w:r>
          </w:p>
        </w:tc>
        <w:tc>
          <w:tcPr>
            <w:tcW w:w="170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1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7" w:hRule="atLeast"/>
          <w:jc w:val="center"/>
        </w:trPr>
        <w:tc>
          <w:tcPr>
            <w:tcW w:w="71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eastAsia="黑体"/>
                <w:kern w:val="0"/>
                <w:szCs w:val="21"/>
              </w:rPr>
            </w:pPr>
          </w:p>
        </w:tc>
        <w:tc>
          <w:tcPr>
            <w:tcW w:w="7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kern w:val="0"/>
                <w:szCs w:val="21"/>
              </w:rPr>
            </w:pP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成本指标</w:t>
            </w:r>
          </w:p>
        </w:tc>
        <w:tc>
          <w:tcPr>
            <w:tcW w:w="262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170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1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" w:hRule="atLeast"/>
          <w:jc w:val="center"/>
        </w:trPr>
        <w:tc>
          <w:tcPr>
            <w:tcW w:w="71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eastAsia="黑体"/>
                <w:kern w:val="0"/>
                <w:szCs w:val="21"/>
              </w:rPr>
            </w:pPr>
          </w:p>
        </w:tc>
        <w:tc>
          <w:tcPr>
            <w:tcW w:w="75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widowControl/>
              <w:spacing w:line="280" w:lineRule="exact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效益指标</w:t>
            </w: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经济效益指标</w:t>
            </w:r>
          </w:p>
        </w:tc>
        <w:tc>
          <w:tcPr>
            <w:tcW w:w="262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　</w:t>
            </w:r>
          </w:p>
        </w:tc>
        <w:tc>
          <w:tcPr>
            <w:tcW w:w="170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1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jc w:val="center"/>
        </w:trPr>
        <w:tc>
          <w:tcPr>
            <w:tcW w:w="71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eastAsia="黑体"/>
                <w:kern w:val="0"/>
                <w:szCs w:val="21"/>
              </w:rPr>
            </w:pPr>
          </w:p>
        </w:tc>
        <w:tc>
          <w:tcPr>
            <w:tcW w:w="7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kern w:val="0"/>
                <w:szCs w:val="21"/>
              </w:rPr>
            </w:pP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社会效益指标</w:t>
            </w:r>
          </w:p>
        </w:tc>
        <w:tc>
          <w:tcPr>
            <w:tcW w:w="262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　</w:t>
            </w:r>
          </w:p>
        </w:tc>
        <w:tc>
          <w:tcPr>
            <w:tcW w:w="170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1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  <w:jc w:val="center"/>
        </w:trPr>
        <w:tc>
          <w:tcPr>
            <w:tcW w:w="71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eastAsia="黑体"/>
                <w:kern w:val="0"/>
                <w:szCs w:val="21"/>
              </w:rPr>
            </w:pPr>
          </w:p>
        </w:tc>
        <w:tc>
          <w:tcPr>
            <w:tcW w:w="7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kern w:val="0"/>
                <w:szCs w:val="21"/>
              </w:rPr>
            </w:pP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生态效益指标</w:t>
            </w:r>
          </w:p>
        </w:tc>
        <w:tc>
          <w:tcPr>
            <w:tcW w:w="262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170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1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7" w:hRule="atLeast"/>
          <w:jc w:val="center"/>
        </w:trPr>
        <w:tc>
          <w:tcPr>
            <w:tcW w:w="71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eastAsia="黑体"/>
                <w:kern w:val="0"/>
                <w:szCs w:val="21"/>
              </w:rPr>
            </w:pPr>
          </w:p>
        </w:tc>
        <w:tc>
          <w:tcPr>
            <w:tcW w:w="7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kern w:val="0"/>
                <w:szCs w:val="21"/>
              </w:rPr>
            </w:pP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可持续影响指标</w:t>
            </w:r>
          </w:p>
        </w:tc>
        <w:tc>
          <w:tcPr>
            <w:tcW w:w="262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　</w:t>
            </w:r>
          </w:p>
        </w:tc>
        <w:tc>
          <w:tcPr>
            <w:tcW w:w="170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1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71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eastAsia="黑体"/>
                <w:kern w:val="0"/>
                <w:szCs w:val="21"/>
              </w:rPr>
            </w:pPr>
          </w:p>
        </w:tc>
        <w:tc>
          <w:tcPr>
            <w:tcW w:w="7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kern w:val="0"/>
                <w:szCs w:val="21"/>
              </w:rPr>
            </w:pP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社会公众或服务对象满意度指标</w:t>
            </w:r>
          </w:p>
        </w:tc>
        <w:tc>
          <w:tcPr>
            <w:tcW w:w="262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　</w:t>
            </w:r>
          </w:p>
        </w:tc>
        <w:tc>
          <w:tcPr>
            <w:tcW w:w="170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1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  <w:jc w:val="center"/>
        </w:trPr>
        <w:tc>
          <w:tcPr>
            <w:tcW w:w="14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eastAsia="黑体"/>
                <w:kern w:val="0"/>
                <w:szCs w:val="21"/>
              </w:rPr>
            </w:pPr>
            <w:r>
              <w:rPr>
                <w:rFonts w:hint="eastAsia" w:eastAsia="黑体"/>
                <w:kern w:val="0"/>
                <w:szCs w:val="21"/>
              </w:rPr>
              <w:t>专项实施</w:t>
            </w:r>
          </w:p>
          <w:p>
            <w:pPr>
              <w:widowControl/>
              <w:spacing w:line="280" w:lineRule="exact"/>
              <w:jc w:val="center"/>
              <w:rPr>
                <w:rFonts w:eastAsia="黑体"/>
                <w:kern w:val="0"/>
                <w:szCs w:val="21"/>
              </w:rPr>
            </w:pPr>
            <w:r>
              <w:rPr>
                <w:rFonts w:hint="eastAsia" w:eastAsia="黑体"/>
                <w:kern w:val="0"/>
                <w:szCs w:val="21"/>
              </w:rPr>
              <w:t>保障措施</w:t>
            </w:r>
          </w:p>
        </w:tc>
        <w:tc>
          <w:tcPr>
            <w:tcW w:w="806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rPr>
                <w:kern w:val="0"/>
                <w:szCs w:val="21"/>
              </w:rPr>
            </w:pPr>
            <w:r>
              <w:rPr>
                <w:rFonts w:hint="eastAsia" w:eastAsia="仿宋_GB2312"/>
                <w:sz w:val="24"/>
              </w:rPr>
              <w:t>为确保专项实施而制定的制度和措施，如成立的专门管理机构、资金管理办法、项目管理办法、工作措施（方案、规划）等。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  <w:jc w:val="center"/>
        </w:trPr>
        <w:tc>
          <w:tcPr>
            <w:tcW w:w="14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eastAsia="黑体"/>
                <w:kern w:val="0"/>
                <w:szCs w:val="21"/>
              </w:rPr>
            </w:pPr>
            <w:r>
              <w:rPr>
                <w:rFonts w:hint="eastAsia" w:eastAsia="黑体"/>
                <w:kern w:val="0"/>
                <w:szCs w:val="21"/>
              </w:rPr>
              <w:t>财政部门审核意见</w:t>
            </w:r>
          </w:p>
        </w:tc>
        <w:tc>
          <w:tcPr>
            <w:tcW w:w="806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ind w:right="420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                                                                                                                        </w:t>
            </w:r>
          </w:p>
          <w:p>
            <w:pPr>
              <w:widowControl/>
              <w:spacing w:line="280" w:lineRule="exact"/>
              <w:ind w:right="630"/>
              <w:jc w:val="righ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                                                             </w:t>
            </w:r>
            <w:r>
              <w:rPr>
                <w:rFonts w:hint="eastAsia"/>
                <w:kern w:val="0"/>
                <w:szCs w:val="21"/>
              </w:rPr>
              <w:t>（盖章）</w:t>
            </w:r>
          </w:p>
          <w:p>
            <w:pPr>
              <w:widowControl/>
              <w:spacing w:line="280" w:lineRule="exact"/>
              <w:jc w:val="righ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年</w:t>
            </w:r>
            <w:r>
              <w:rPr>
                <w:kern w:val="0"/>
                <w:szCs w:val="21"/>
              </w:rPr>
              <w:t xml:space="preserve">   </w:t>
            </w:r>
            <w:r>
              <w:rPr>
                <w:rFonts w:hint="eastAsia"/>
                <w:kern w:val="0"/>
                <w:szCs w:val="21"/>
              </w:rPr>
              <w:t>月</w:t>
            </w:r>
            <w:r>
              <w:rPr>
                <w:kern w:val="0"/>
                <w:szCs w:val="21"/>
              </w:rPr>
              <w:t xml:space="preserve">   </w:t>
            </w:r>
            <w:r>
              <w:rPr>
                <w:rFonts w:hint="eastAsia"/>
                <w:kern w:val="0"/>
                <w:szCs w:val="21"/>
              </w:rPr>
              <w:t>日</w:t>
            </w:r>
            <w:r>
              <w:rPr>
                <w:kern w:val="0"/>
                <w:szCs w:val="21"/>
              </w:rPr>
              <w:t xml:space="preserve">                                                        </w:t>
            </w:r>
          </w:p>
        </w:tc>
      </w:tr>
    </w:tbl>
    <w:p>
      <w:pPr>
        <w:widowControl/>
        <w:tabs>
          <w:tab w:val="left" w:pos="2460"/>
          <w:tab w:val="left" w:pos="6493"/>
        </w:tabs>
        <w:jc w:val="left"/>
        <w:rPr>
          <w:rFonts w:hint="eastAsia"/>
          <w:kern w:val="0"/>
        </w:rPr>
      </w:pPr>
      <w:r>
        <w:rPr>
          <w:rFonts w:hint="eastAsia"/>
          <w:kern w:val="0"/>
          <w:szCs w:val="21"/>
        </w:rPr>
        <w:t>填报人：</w:t>
      </w:r>
      <w:r>
        <w:rPr>
          <w:rFonts w:hint="eastAsia"/>
          <w:kern w:val="0"/>
          <w:szCs w:val="21"/>
          <w:lang w:eastAsia="zh-CN"/>
        </w:rPr>
        <w:t>杨柳华</w:t>
      </w:r>
      <w:r>
        <w:rPr>
          <w:kern w:val="0"/>
          <w:szCs w:val="21"/>
        </w:rPr>
        <w:t xml:space="preserve">         </w:t>
      </w:r>
      <w:r>
        <w:rPr>
          <w:rFonts w:hint="eastAsia"/>
          <w:kern w:val="0"/>
          <w:szCs w:val="21"/>
        </w:rPr>
        <w:t>联系电话：1</w:t>
      </w:r>
      <w:r>
        <w:rPr>
          <w:rFonts w:hint="eastAsia"/>
          <w:kern w:val="0"/>
          <w:szCs w:val="21"/>
          <w:lang w:val="en-US" w:eastAsia="zh-CN"/>
        </w:rPr>
        <w:t>5873793763</w:t>
      </w:r>
      <w:r>
        <w:rPr>
          <w:kern w:val="0"/>
          <w:szCs w:val="21"/>
        </w:rPr>
        <w:t xml:space="preserve">      </w:t>
      </w:r>
      <w:r>
        <w:rPr>
          <w:rFonts w:hint="eastAsia"/>
          <w:kern w:val="0"/>
          <w:szCs w:val="21"/>
        </w:rPr>
        <w:t>填报日期：</w:t>
      </w:r>
      <w:r>
        <w:rPr>
          <w:kern w:val="0"/>
          <w:szCs w:val="21"/>
        </w:rPr>
        <w:t xml:space="preserve">   </w:t>
      </w:r>
      <w:r>
        <w:rPr>
          <w:rFonts w:hint="eastAsia"/>
          <w:kern w:val="0"/>
          <w:szCs w:val="21"/>
        </w:rPr>
        <w:t>201</w:t>
      </w:r>
      <w:r>
        <w:rPr>
          <w:rFonts w:hint="eastAsia"/>
          <w:kern w:val="0"/>
          <w:szCs w:val="21"/>
          <w:lang w:val="en-US" w:eastAsia="zh-CN"/>
        </w:rPr>
        <w:t>7</w:t>
      </w:r>
      <w:r>
        <w:rPr>
          <w:rFonts w:hint="eastAsia"/>
          <w:kern w:val="0"/>
          <w:szCs w:val="21"/>
        </w:rPr>
        <w:t>年</w:t>
      </w:r>
      <w:r>
        <w:rPr>
          <w:rFonts w:hint="eastAsia"/>
          <w:kern w:val="0"/>
          <w:szCs w:val="21"/>
          <w:lang w:val="en-US" w:eastAsia="zh-CN"/>
        </w:rPr>
        <w:t>4</w:t>
      </w:r>
      <w:r>
        <w:rPr>
          <w:rFonts w:hint="eastAsia"/>
          <w:kern w:val="0"/>
          <w:szCs w:val="21"/>
        </w:rPr>
        <w:t>月</w:t>
      </w:r>
      <w:r>
        <w:rPr>
          <w:rFonts w:hint="eastAsia"/>
          <w:kern w:val="0"/>
          <w:szCs w:val="21"/>
          <w:lang w:val="en-US" w:eastAsia="zh-CN"/>
        </w:rPr>
        <w:t>18</w:t>
      </w:r>
      <w:r>
        <w:rPr>
          <w:rFonts w:hint="eastAsia"/>
          <w:kern w:val="0"/>
          <w:szCs w:val="21"/>
        </w:rPr>
        <w:t>日</w:t>
      </w:r>
    </w:p>
    <w:p/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09F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方正小标宋_GBK">
    <w:altName w:val="黑体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E1275C1"/>
    <w:rsid w:val="1E1275C1"/>
    <w:rsid w:val="33916212"/>
    <w:rsid w:val="68A6012F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Office_10.1.0.6207_F1E327BC-269C-435d-A152-05C5408002CA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2017-04-18T02:33:00Z</dcterms:created>
  <dc:creator>Administrator</dc:creator>
  <cp:lastModifiedBy>Administrator</cp:lastModifiedBy>
  <dcterms:modified xsi:type="dcterms:W3CDTF">2017-04-18T03:04:10Z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2052-10.1.0.6207</vt:lpwstr>
  </property>
</Properties>
</file>