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color w:val="auto"/>
          <w:sz w:val="44"/>
          <w:szCs w:val="44"/>
          <w:u w:val="none"/>
        </w:rPr>
      </w:pPr>
    </w:p>
    <w:p>
      <w:pPr>
        <w:jc w:val="center"/>
        <w:rPr>
          <w:rFonts w:ascii="黑体" w:hAnsi="黑体" w:eastAsia="黑体" w:cs="黑体"/>
          <w:color w:val="auto"/>
          <w:sz w:val="44"/>
          <w:szCs w:val="44"/>
          <w:u w:val="none"/>
        </w:rPr>
      </w:pPr>
    </w:p>
    <w:p>
      <w:pPr>
        <w:jc w:val="center"/>
        <w:rPr>
          <w:rFonts w:ascii="黑体" w:hAnsi="黑体" w:eastAsia="黑体" w:cs="黑体"/>
          <w:color w:val="auto"/>
          <w:sz w:val="44"/>
          <w:szCs w:val="44"/>
          <w:u w:val="none"/>
        </w:rPr>
      </w:pPr>
    </w:p>
    <w:p>
      <w:pPr>
        <w:jc w:val="center"/>
        <w:rPr>
          <w:rFonts w:ascii="黑体" w:hAnsi="黑体" w:eastAsia="黑体" w:cs="黑体"/>
          <w:color w:val="auto"/>
          <w:sz w:val="44"/>
          <w:szCs w:val="44"/>
          <w:u w:val="none"/>
        </w:rPr>
      </w:pP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仿宋_GB2312" w:hAnsi="仿宋_GB2312" w:eastAsia="仿宋_GB2312" w:cs="仿宋_GB2312"/>
          <w:color w:val="auto"/>
          <w:sz w:val="32"/>
          <w:szCs w:val="32"/>
          <w:u w:val="none"/>
        </w:rPr>
      </w:pPr>
    </w:p>
    <w:p>
      <w:pPr>
        <w:jc w:val="center"/>
        <w:rPr>
          <w:rFonts w:hint="eastAsia" w:ascii="宋体" w:hAnsi="宋体" w:eastAsia="宋体" w:cs="宋体"/>
          <w:color w:val="auto"/>
          <w:sz w:val="32"/>
          <w:szCs w:val="32"/>
          <w:u w:val="none"/>
          <w:lang w:eastAsia="zh-CN"/>
        </w:rPr>
      </w:pPr>
    </w:p>
    <w:p>
      <w:pPr>
        <w:jc w:val="center"/>
        <w:rPr>
          <w:rFonts w:hint="eastAsia" w:ascii="宋体" w:hAnsi="宋体" w:eastAsia="宋体" w:cs="宋体"/>
          <w:color w:val="auto"/>
          <w:sz w:val="32"/>
          <w:szCs w:val="32"/>
          <w:u w:val="none"/>
          <w:lang w:val="en-US" w:eastAsia="zh-CN"/>
        </w:rPr>
      </w:pPr>
      <w:r>
        <w:rPr>
          <w:rFonts w:hint="eastAsia" w:ascii="宋体" w:hAnsi="宋体" w:eastAsia="宋体" w:cs="宋体"/>
          <w:color w:val="auto"/>
          <w:sz w:val="32"/>
          <w:szCs w:val="32"/>
          <w:u w:val="none"/>
          <w:lang w:eastAsia="zh-CN"/>
        </w:rPr>
        <w:t>城民发〔2022〕</w:t>
      </w:r>
      <w:r>
        <w:rPr>
          <w:rFonts w:hint="eastAsia" w:ascii="宋体" w:hAnsi="宋体" w:eastAsia="宋体" w:cs="宋体"/>
          <w:color w:val="auto"/>
          <w:sz w:val="32"/>
          <w:szCs w:val="32"/>
          <w:u w:val="none"/>
          <w:lang w:val="en-US" w:eastAsia="zh-CN"/>
        </w:rPr>
        <w:t>26号</w:t>
      </w:r>
    </w:p>
    <w:p>
      <w:pPr>
        <w:jc w:val="center"/>
        <w:rPr>
          <w:rFonts w:ascii="黑体" w:hAnsi="黑体" w:eastAsia="黑体" w:cs="黑体"/>
          <w:color w:val="auto"/>
          <w:sz w:val="44"/>
          <w:szCs w:val="44"/>
          <w:u w:val="none"/>
        </w:rPr>
      </w:pPr>
    </w:p>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hint="eastAsia" w:ascii="黑体" w:hAnsi="黑体" w:eastAsia="黑体" w:cs="黑体"/>
          <w:color w:val="auto"/>
          <w:sz w:val="44"/>
          <w:szCs w:val="44"/>
          <w:u w:val="none"/>
        </w:rPr>
      </w:pPr>
      <w:r>
        <w:rPr>
          <w:rFonts w:hint="eastAsia" w:ascii="黑体" w:hAnsi="黑体" w:eastAsia="黑体" w:cs="黑体"/>
          <w:color w:val="auto"/>
          <w:sz w:val="44"/>
          <w:szCs w:val="44"/>
          <w:u w:val="none"/>
          <w:lang w:eastAsia="zh-CN"/>
        </w:rPr>
        <w:t>城步苗族自治县</w:t>
      </w:r>
      <w:r>
        <w:rPr>
          <w:rFonts w:hint="eastAsia" w:ascii="黑体" w:hAnsi="黑体" w:eastAsia="黑体" w:cs="黑体"/>
          <w:color w:val="auto"/>
          <w:sz w:val="44"/>
          <w:szCs w:val="44"/>
          <w:u w:val="none"/>
        </w:rPr>
        <w:t>民政局关于印发《</w:t>
      </w:r>
      <w:r>
        <w:rPr>
          <w:rFonts w:hint="eastAsia" w:ascii="黑体" w:hAnsi="黑体" w:eastAsia="黑体" w:cs="黑体"/>
          <w:color w:val="auto"/>
          <w:sz w:val="44"/>
          <w:szCs w:val="44"/>
          <w:u w:val="none"/>
          <w:lang w:eastAsia="zh-CN"/>
        </w:rPr>
        <w:t>城步苗族自治县</w:t>
      </w:r>
      <w:r>
        <w:rPr>
          <w:rFonts w:hint="eastAsia" w:ascii="黑体" w:hAnsi="黑体" w:eastAsia="黑体" w:cs="黑体"/>
          <w:color w:val="auto"/>
          <w:sz w:val="44"/>
          <w:szCs w:val="44"/>
          <w:u w:val="none"/>
        </w:rPr>
        <w:t>特困人员认定办法》的通知</w:t>
      </w:r>
    </w:p>
    <w:p>
      <w:pPr>
        <w:keepNext w:val="0"/>
        <w:keepLines w:val="0"/>
        <w:pageBreakBefore w:val="0"/>
        <w:kinsoku/>
        <w:overflowPunct/>
        <w:topLinePunct w:val="0"/>
        <w:autoSpaceDE/>
        <w:bidi w:val="0"/>
        <w:adjustRightInd/>
        <w:snapToGrid/>
        <w:spacing w:line="550" w:lineRule="exact"/>
        <w:textAlignment w:val="auto"/>
        <w:rPr>
          <w:rFonts w:hint="eastAsia" w:ascii="黑体" w:hAnsi="黑体" w:eastAsia="黑体" w:cs="黑体"/>
          <w:color w:val="auto"/>
          <w:u w:val="none"/>
        </w:rPr>
      </w:pPr>
    </w:p>
    <w:p>
      <w:pPr>
        <w:keepNext w:val="0"/>
        <w:keepLines w:val="0"/>
        <w:pageBreakBefore w:val="0"/>
        <w:kinsoku/>
        <w:overflowPunct/>
        <w:topLinePunct w:val="0"/>
        <w:autoSpaceDE/>
        <w:bidi w:val="0"/>
        <w:adjustRightInd/>
        <w:snapToGrid/>
        <w:spacing w:line="550" w:lineRule="exact"/>
        <w:textAlignment w:val="auto"/>
        <w:rPr>
          <w:rFonts w:hint="eastAsia" w:ascii="宋体" w:hAnsi="宋体" w:eastAsia="宋体" w:cs="宋体"/>
          <w:color w:val="auto"/>
          <w:sz w:val="32"/>
          <w:szCs w:val="32"/>
          <w:u w:val="none"/>
        </w:rPr>
      </w:pPr>
      <w:r>
        <w:rPr>
          <w:rFonts w:hint="eastAsia" w:ascii="宋体" w:hAnsi="宋体" w:eastAsia="宋体" w:cs="宋体"/>
          <w:color w:val="auto"/>
          <w:sz w:val="32"/>
          <w:szCs w:val="32"/>
          <w:u w:val="none"/>
        </w:rPr>
        <w:t>各</w:t>
      </w:r>
      <w:r>
        <w:rPr>
          <w:rFonts w:hint="eastAsia" w:ascii="宋体" w:hAnsi="宋体" w:eastAsia="宋体" w:cs="宋体"/>
          <w:color w:val="auto"/>
          <w:sz w:val="32"/>
          <w:szCs w:val="32"/>
          <w:u w:val="none"/>
          <w:lang w:eastAsia="zh-CN"/>
        </w:rPr>
        <w:t>乡镇（场）社会事务办公室、局属各股室、二级机构</w:t>
      </w:r>
      <w:r>
        <w:rPr>
          <w:rFonts w:hint="eastAsia" w:ascii="宋体" w:hAnsi="宋体" w:eastAsia="宋体" w:cs="宋体"/>
          <w:color w:val="auto"/>
          <w:sz w:val="32"/>
          <w:szCs w:val="32"/>
          <w:u w:val="none"/>
        </w:rPr>
        <w:t>：</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宋体" w:hAnsi="宋体" w:eastAsia="宋体" w:cs="宋体"/>
          <w:color w:val="auto"/>
          <w:sz w:val="32"/>
          <w:szCs w:val="32"/>
          <w:u w:val="none"/>
        </w:rPr>
      </w:pPr>
      <w:r>
        <w:rPr>
          <w:rFonts w:hint="eastAsia" w:ascii="宋体" w:hAnsi="宋体" w:eastAsia="宋体" w:cs="宋体"/>
          <w:color w:val="auto"/>
          <w:sz w:val="32"/>
          <w:szCs w:val="32"/>
          <w:u w:val="none"/>
        </w:rPr>
        <w:t>《</w:t>
      </w:r>
      <w:r>
        <w:rPr>
          <w:rFonts w:hint="eastAsia" w:ascii="宋体" w:hAnsi="宋体" w:eastAsia="宋体" w:cs="宋体"/>
          <w:color w:val="auto"/>
          <w:sz w:val="32"/>
          <w:szCs w:val="32"/>
          <w:u w:val="none"/>
          <w:lang w:eastAsia="zh-CN"/>
        </w:rPr>
        <w:t>城步苗族自治县</w:t>
      </w:r>
      <w:r>
        <w:rPr>
          <w:rFonts w:hint="eastAsia" w:ascii="宋体" w:hAnsi="宋体" w:eastAsia="宋体" w:cs="宋体"/>
          <w:color w:val="auto"/>
          <w:sz w:val="32"/>
          <w:szCs w:val="32"/>
          <w:u w:val="none"/>
        </w:rPr>
        <w:t>特困人员认定办法》已经</w:t>
      </w:r>
      <w:r>
        <w:rPr>
          <w:rFonts w:hint="eastAsia" w:ascii="宋体" w:hAnsi="宋体" w:eastAsia="宋体" w:cs="宋体"/>
          <w:color w:val="auto"/>
          <w:sz w:val="32"/>
          <w:szCs w:val="32"/>
          <w:u w:val="none"/>
          <w:lang w:eastAsia="zh-CN"/>
        </w:rPr>
        <w:t>局</w:t>
      </w:r>
      <w:r>
        <w:rPr>
          <w:rFonts w:hint="eastAsia" w:ascii="宋体" w:hAnsi="宋体" w:eastAsia="宋体" w:cs="宋体"/>
          <w:color w:val="auto"/>
          <w:sz w:val="32"/>
          <w:szCs w:val="32"/>
          <w:u w:val="none"/>
        </w:rPr>
        <w:t>党</w:t>
      </w:r>
      <w:r>
        <w:rPr>
          <w:rFonts w:hint="eastAsia" w:ascii="宋体" w:hAnsi="宋体" w:eastAsia="宋体" w:cs="宋体"/>
          <w:color w:val="auto"/>
          <w:sz w:val="32"/>
          <w:szCs w:val="32"/>
          <w:u w:val="none"/>
          <w:lang w:eastAsia="zh-CN"/>
        </w:rPr>
        <w:t>组</w:t>
      </w:r>
      <w:r>
        <w:rPr>
          <w:rFonts w:hint="eastAsia" w:ascii="宋体" w:hAnsi="宋体" w:eastAsia="宋体" w:cs="宋体"/>
          <w:color w:val="auto"/>
          <w:sz w:val="32"/>
          <w:szCs w:val="32"/>
          <w:u w:val="none"/>
        </w:rPr>
        <w:t>审议通过，现印发给你们，请结合实际遵照执行。</w:t>
      </w:r>
    </w:p>
    <w:p>
      <w:pPr>
        <w:keepNext w:val="0"/>
        <w:keepLines w:val="0"/>
        <w:pageBreakBefore w:val="0"/>
        <w:kinsoku/>
        <w:overflowPunct/>
        <w:topLinePunct w:val="0"/>
        <w:autoSpaceDE/>
        <w:bidi w:val="0"/>
        <w:adjustRightInd/>
        <w:snapToGrid/>
        <w:spacing w:line="550" w:lineRule="exact"/>
        <w:textAlignment w:val="auto"/>
        <w:rPr>
          <w:rFonts w:hint="eastAsia" w:ascii="宋体" w:hAnsi="宋体" w:eastAsia="宋体" w:cs="宋体"/>
          <w:color w:val="auto"/>
          <w:sz w:val="32"/>
          <w:szCs w:val="32"/>
          <w:u w:val="none"/>
        </w:rPr>
      </w:pP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宋体" w:hAnsi="宋体" w:eastAsia="宋体" w:cs="宋体"/>
          <w:color w:val="auto"/>
          <w:sz w:val="32"/>
          <w:szCs w:val="32"/>
          <w:u w:val="none"/>
        </w:rPr>
      </w:pPr>
    </w:p>
    <w:p>
      <w:pPr>
        <w:keepNext w:val="0"/>
        <w:keepLines w:val="0"/>
        <w:pageBreakBefore w:val="0"/>
        <w:kinsoku/>
        <w:wordWrap w:val="0"/>
        <w:overflowPunct/>
        <w:topLinePunct w:val="0"/>
        <w:autoSpaceDE/>
        <w:bidi w:val="0"/>
        <w:adjustRightInd/>
        <w:snapToGrid/>
        <w:spacing w:line="550" w:lineRule="exact"/>
        <w:ind w:firstLine="640" w:firstLineChars="200"/>
        <w:jc w:val="center"/>
        <w:textAlignment w:val="auto"/>
        <w:rPr>
          <w:rFonts w:hint="eastAsia" w:ascii="仿宋" w:hAnsi="仿宋" w:eastAsia="仿宋" w:cs="仿宋"/>
          <w:color w:val="auto"/>
          <w:sz w:val="32"/>
          <w:szCs w:val="32"/>
          <w:u w:val="none"/>
          <w:lang w:val="en-US" w:eastAsia="zh-CN"/>
        </w:rPr>
      </w:pPr>
      <w:r>
        <w:rPr>
          <w:rFonts w:hint="eastAsia" w:ascii="宋体" w:hAnsi="宋体" w:eastAsia="宋体" w:cs="宋体"/>
          <w:color w:val="auto"/>
          <w:sz w:val="32"/>
          <w:szCs w:val="32"/>
          <w:u w:val="none"/>
          <w:lang w:val="en-US" w:eastAsia="zh-CN"/>
        </w:rPr>
        <w:t xml:space="preserve">   </w:t>
      </w:r>
      <w:r>
        <w:rPr>
          <w:rFonts w:hint="eastAsia" w:ascii="仿宋" w:hAnsi="仿宋" w:eastAsia="仿宋" w:cs="仿宋"/>
          <w:color w:val="auto"/>
          <w:sz w:val="32"/>
          <w:szCs w:val="32"/>
          <w:u w:val="none"/>
          <w:lang w:val="en-US" w:eastAsia="zh-CN"/>
        </w:rPr>
        <w:t xml:space="preserve">                        </w:t>
      </w:r>
    </w:p>
    <w:p>
      <w:pPr>
        <w:keepNext w:val="0"/>
        <w:keepLines w:val="0"/>
        <w:pageBreakBefore w:val="0"/>
        <w:kinsoku/>
        <w:wordWrap/>
        <w:overflowPunct/>
        <w:topLinePunct w:val="0"/>
        <w:autoSpaceDE/>
        <w:bidi w:val="0"/>
        <w:adjustRightInd/>
        <w:snapToGrid/>
        <w:spacing w:line="550" w:lineRule="exact"/>
        <w:ind w:firstLine="640" w:firstLineChars="200"/>
        <w:jc w:val="righ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城步苗族自治县</w:t>
      </w:r>
      <w:r>
        <w:rPr>
          <w:rFonts w:hint="eastAsia" w:ascii="仿宋" w:hAnsi="仿宋" w:eastAsia="仿宋" w:cs="仿宋"/>
          <w:color w:val="auto"/>
          <w:sz w:val="32"/>
          <w:szCs w:val="32"/>
          <w:u w:val="none"/>
        </w:rPr>
        <w:t xml:space="preserve">民政局 </w:t>
      </w:r>
    </w:p>
    <w:p>
      <w:pPr>
        <w:keepNext w:val="0"/>
        <w:keepLines w:val="0"/>
        <w:pageBreakBefore w:val="0"/>
        <w:kinsoku/>
        <w:wordWrap w:val="0"/>
        <w:overflowPunct/>
        <w:topLinePunct w:val="0"/>
        <w:autoSpaceDE/>
        <w:bidi w:val="0"/>
        <w:adjustRightInd/>
        <w:snapToGrid/>
        <w:spacing w:line="550" w:lineRule="exact"/>
        <w:jc w:val="righ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2022年</w:t>
      </w: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月</w:t>
      </w: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日</w:t>
      </w:r>
    </w:p>
    <w:p>
      <w:pPr>
        <w:keepNext w:val="0"/>
        <w:keepLines w:val="0"/>
        <w:pageBreakBefore w:val="0"/>
        <w:widowControl/>
        <w:kinsoku/>
        <w:overflowPunct/>
        <w:topLinePunct w:val="0"/>
        <w:autoSpaceDE/>
        <w:bidi w:val="0"/>
        <w:adjustRightInd/>
        <w:snapToGrid/>
        <w:spacing w:line="550" w:lineRule="exact"/>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br w:type="page"/>
      </w:r>
    </w:p>
    <w:p>
      <w:pPr>
        <w:keepNext w:val="0"/>
        <w:keepLines w:val="0"/>
        <w:pageBreakBefore w:val="0"/>
        <w:widowControl w:val="0"/>
        <w:kinsoku/>
        <w:wordWrap/>
        <w:overflowPunct/>
        <w:topLinePunct w:val="0"/>
        <w:autoSpaceDE/>
        <w:autoSpaceDN/>
        <w:bidi w:val="0"/>
        <w:adjustRightInd/>
        <w:snapToGrid/>
        <w:spacing w:after="375" w:afterLines="120" w:line="550" w:lineRule="exact"/>
        <w:jc w:val="center"/>
        <w:textAlignment w:val="auto"/>
        <w:rPr>
          <w:rFonts w:hint="eastAsia" w:ascii="仿宋" w:hAnsi="仿宋" w:eastAsia="仿宋" w:cs="仿宋"/>
          <w:color w:val="auto"/>
          <w:sz w:val="44"/>
          <w:szCs w:val="44"/>
          <w:u w:val="none"/>
        </w:rPr>
      </w:pPr>
      <w:r>
        <w:rPr>
          <w:rFonts w:hint="eastAsia" w:ascii="仿宋" w:hAnsi="仿宋" w:eastAsia="仿宋" w:cs="仿宋"/>
          <w:color w:val="auto"/>
          <w:sz w:val="44"/>
          <w:szCs w:val="44"/>
          <w:u w:val="none"/>
          <w:lang w:eastAsia="zh-CN"/>
        </w:rPr>
        <w:t>城步苗族自治县</w:t>
      </w:r>
      <w:bookmarkStart w:id="0" w:name="_GoBack"/>
      <w:bookmarkEnd w:id="0"/>
      <w:r>
        <w:rPr>
          <w:rFonts w:hint="eastAsia" w:ascii="仿宋" w:hAnsi="仿宋" w:eastAsia="仿宋" w:cs="仿宋"/>
          <w:color w:val="auto"/>
          <w:sz w:val="44"/>
          <w:szCs w:val="44"/>
          <w:u w:val="none"/>
        </w:rPr>
        <w:t>特困人员认定办法</w:t>
      </w:r>
    </w:p>
    <w:p>
      <w:pPr>
        <w:keepNext w:val="0"/>
        <w:keepLines w:val="0"/>
        <w:pageBreakBefore w:val="0"/>
        <w:numPr>
          <w:ilvl w:val="0"/>
          <w:numId w:val="1"/>
        </w:numPr>
        <w:kinsoku/>
        <w:overflowPunct/>
        <w:topLinePunct w:val="0"/>
        <w:autoSpaceDE/>
        <w:bidi w:val="0"/>
        <w:adjustRightInd/>
        <w:snapToGrid/>
        <w:spacing w:line="550" w:lineRule="exact"/>
        <w:jc w:val="center"/>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 总则</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第一条  根据《湖南省民政厅关于印发&lt;特困人员认定办法&gt;的通知》（湘民发〔2021〕35号）、《邵阳</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城乡社会救助体系建设工作领导小组关于印发&lt;邵阳</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社会救助综合改革实施方案&gt;的通知》（邵救发〔2021〕1号）</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邵阳市</w:t>
      </w:r>
      <w:r>
        <w:rPr>
          <w:rFonts w:hint="eastAsia" w:ascii="仿宋" w:hAnsi="仿宋" w:eastAsia="仿宋" w:cs="仿宋"/>
          <w:color w:val="auto"/>
          <w:sz w:val="32"/>
          <w:szCs w:val="32"/>
          <w:u w:val="none"/>
        </w:rPr>
        <w:t>民政</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关于印发&lt;特困人员认定办法&gt;的通知》（</w:t>
      </w:r>
      <w:r>
        <w:rPr>
          <w:rFonts w:hint="eastAsia" w:ascii="仿宋" w:hAnsi="仿宋" w:eastAsia="仿宋" w:cs="仿宋"/>
          <w:color w:val="auto"/>
          <w:sz w:val="32"/>
          <w:szCs w:val="32"/>
          <w:u w:val="none"/>
          <w:lang w:eastAsia="zh-CN"/>
        </w:rPr>
        <w:t>邵</w:t>
      </w:r>
      <w:r>
        <w:rPr>
          <w:rFonts w:hint="eastAsia" w:ascii="仿宋" w:hAnsi="仿宋" w:eastAsia="仿宋" w:cs="仿宋"/>
          <w:color w:val="auto"/>
          <w:sz w:val="32"/>
          <w:szCs w:val="32"/>
          <w:u w:val="none"/>
        </w:rPr>
        <w:t>民发〔202</w:t>
      </w: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val="en-US" w:eastAsia="zh-CN"/>
        </w:rPr>
        <w:t>18</w:t>
      </w:r>
      <w:r>
        <w:rPr>
          <w:rFonts w:hint="eastAsia" w:ascii="仿宋" w:hAnsi="仿宋" w:eastAsia="仿宋" w:cs="仿宋"/>
          <w:color w:val="auto"/>
          <w:sz w:val="32"/>
          <w:szCs w:val="32"/>
          <w:u w:val="none"/>
        </w:rPr>
        <w:t>号）等相关规定，</w:t>
      </w:r>
      <w:r>
        <w:rPr>
          <w:rFonts w:hint="eastAsia" w:ascii="仿宋" w:hAnsi="仿宋" w:eastAsia="仿宋" w:cs="仿宋"/>
          <w:color w:val="auto"/>
          <w:sz w:val="32"/>
          <w:szCs w:val="32"/>
          <w:u w:val="none"/>
          <w:lang w:eastAsia="zh-CN"/>
        </w:rPr>
        <w:t>为</w:t>
      </w:r>
      <w:r>
        <w:rPr>
          <w:rFonts w:hint="eastAsia" w:ascii="仿宋" w:hAnsi="仿宋" w:eastAsia="仿宋" w:cs="仿宋"/>
          <w:color w:val="auto"/>
          <w:sz w:val="32"/>
          <w:szCs w:val="32"/>
          <w:u w:val="none"/>
        </w:rPr>
        <w:t>进一步完善我</w:t>
      </w:r>
      <w:r>
        <w:rPr>
          <w:rFonts w:hint="eastAsia" w:ascii="仿宋" w:hAnsi="仿宋" w:eastAsia="仿宋" w:cs="仿宋"/>
          <w:color w:val="auto"/>
          <w:sz w:val="32"/>
          <w:szCs w:val="32"/>
          <w:u w:val="none"/>
          <w:lang w:eastAsia="zh-CN"/>
        </w:rPr>
        <w:t>县</w:t>
      </w:r>
      <w:r>
        <w:rPr>
          <w:rFonts w:hint="eastAsia" w:ascii="仿宋" w:hAnsi="仿宋" w:eastAsia="仿宋" w:cs="仿宋"/>
          <w:color w:val="auto"/>
          <w:sz w:val="32"/>
          <w:szCs w:val="32"/>
          <w:u w:val="none"/>
        </w:rPr>
        <w:t>社会救助体系，健全特困人员救助供养制度，现结合我</w:t>
      </w:r>
      <w:r>
        <w:rPr>
          <w:rFonts w:hint="eastAsia" w:ascii="仿宋" w:hAnsi="仿宋" w:eastAsia="仿宋" w:cs="仿宋"/>
          <w:color w:val="auto"/>
          <w:sz w:val="32"/>
          <w:szCs w:val="32"/>
          <w:u w:val="none"/>
          <w:lang w:eastAsia="zh-CN"/>
        </w:rPr>
        <w:t>县</w:t>
      </w:r>
      <w:r>
        <w:rPr>
          <w:rFonts w:hint="eastAsia" w:ascii="仿宋" w:hAnsi="仿宋" w:eastAsia="仿宋" w:cs="仿宋"/>
          <w:color w:val="auto"/>
          <w:sz w:val="32"/>
          <w:szCs w:val="32"/>
          <w:u w:val="none"/>
        </w:rPr>
        <w:t>实际，制定本办法。</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第二条  特困人员认定工作总体要求：全面开展特困人员认定工作，严格规范服务管理，认定程序高效便捷，不断健全我</w:t>
      </w:r>
      <w:r>
        <w:rPr>
          <w:rFonts w:hint="eastAsia" w:ascii="仿宋" w:hAnsi="仿宋" w:eastAsia="仿宋" w:cs="仿宋"/>
          <w:color w:val="auto"/>
          <w:sz w:val="32"/>
          <w:szCs w:val="32"/>
          <w:u w:val="none"/>
          <w:lang w:eastAsia="zh-CN"/>
        </w:rPr>
        <w:t>县</w:t>
      </w:r>
      <w:r>
        <w:rPr>
          <w:rFonts w:hint="eastAsia" w:ascii="仿宋" w:hAnsi="仿宋" w:eastAsia="仿宋" w:cs="仿宋"/>
          <w:color w:val="auto"/>
          <w:sz w:val="32"/>
          <w:szCs w:val="32"/>
          <w:u w:val="none"/>
        </w:rPr>
        <w:t>特困人员救助供养制度，解决特困人员突出困难，满足城乡特困人员基本生活需求。</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第三条  特困人员认定工作应当遵循以下原则：坚持属地管理原则，落实责任，分级负责；坚持强化政府托底保障职责，做到应救尽救、应养尽养；坚持与我</w:t>
      </w:r>
      <w:r>
        <w:rPr>
          <w:rFonts w:hint="eastAsia" w:ascii="仿宋" w:hAnsi="仿宋" w:eastAsia="仿宋" w:cs="仿宋"/>
          <w:color w:val="auto"/>
          <w:sz w:val="32"/>
          <w:szCs w:val="32"/>
          <w:u w:val="none"/>
          <w:lang w:eastAsia="zh-CN"/>
        </w:rPr>
        <w:t>县</w:t>
      </w:r>
      <w:r>
        <w:rPr>
          <w:rFonts w:hint="eastAsia" w:ascii="仿宋" w:hAnsi="仿宋" w:eastAsia="仿宋" w:cs="仿宋"/>
          <w:color w:val="auto"/>
          <w:sz w:val="32"/>
          <w:szCs w:val="32"/>
          <w:u w:val="none"/>
        </w:rPr>
        <w:t>经济社会发展相适应，救助供养标准科学合理，保障适度；坚持救助程序公开、公平、公正。</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第四条  县民政部门统筹做好本辖区内特困人员认定及救助供养工作。</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lang w:val="en-US"/>
        </w:rPr>
      </w:pPr>
      <w:r>
        <w:rPr>
          <w:rFonts w:hint="eastAsia" w:ascii="仿宋" w:hAnsi="仿宋" w:eastAsia="仿宋" w:cs="仿宋"/>
          <w:color w:val="auto"/>
          <w:sz w:val="32"/>
          <w:szCs w:val="32"/>
          <w:u w:val="none"/>
        </w:rPr>
        <w:t>县民政部门负责特困人员认定的审核确认工作，</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负责特困人员认定的受理、初审工作</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村（居）民委员会协助做好相关工作</w:t>
      </w:r>
      <w:r>
        <w:rPr>
          <w:rFonts w:hint="eastAsia" w:ascii="仿宋" w:hAnsi="仿宋" w:eastAsia="仿宋" w:cs="仿宋"/>
          <w:color w:val="auto"/>
          <w:sz w:val="32"/>
          <w:szCs w:val="32"/>
          <w:u w:val="none"/>
          <w:lang w:eastAsia="zh-CN"/>
        </w:rPr>
        <w:t>。</w:t>
      </w:r>
    </w:p>
    <w:p>
      <w:pPr>
        <w:keepNext w:val="0"/>
        <w:keepLines w:val="0"/>
        <w:pageBreakBefore w:val="0"/>
        <w:numPr>
          <w:ilvl w:val="0"/>
          <w:numId w:val="1"/>
        </w:numPr>
        <w:kinsoku/>
        <w:overflowPunct/>
        <w:topLinePunct w:val="0"/>
        <w:autoSpaceDE/>
        <w:bidi w:val="0"/>
        <w:adjustRightInd/>
        <w:snapToGrid/>
        <w:spacing w:line="550" w:lineRule="exact"/>
        <w:jc w:val="center"/>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 认定条件</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第五条  享受救助供养的特困人员，应当是同时具备以下条件的老年人、残疾人和未成年人：</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（一）无劳动能力；</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（二）无生活来源；</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（三）无法定赡养、抚养、扶养义务人或者其法定义务人无履行义务能力。</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第六条  符合下列情形之一的，应当认定为本办法所称的无劳动能力；</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（一）60周岁及以上的老年人；</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（二）未满16周岁的未成年人或年满16周岁仍在接受义务教育或者在普通高中、中等职业学校就读的；</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（三）残疾等级为一、二、三级的智力、精神残疾人，残疾等级为一、二级的肢体残疾人（不含听力、语言残疾），残疾等级为一级的视力残疾人。</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（四）</w:t>
      </w:r>
      <w:r>
        <w:rPr>
          <w:rFonts w:hint="eastAsia" w:ascii="仿宋" w:hAnsi="仿宋" w:eastAsia="仿宋" w:cs="仿宋"/>
          <w:color w:val="auto"/>
          <w:kern w:val="0"/>
          <w:sz w:val="32"/>
          <w:szCs w:val="32"/>
          <w:u w:val="none"/>
        </w:rPr>
        <w:t>患有食管癌、胃癌、结肠癌、直肠癌、终末期肾病、儿童急性淋巴细胞白血病、儿童急性早幼粒细胞白血病、儿童先天性心脏病房间隔缺损、儿童先天性心脏病室间隔缺损、尘肺、重性精神疾病、肺结核、艾滋病、晚期血吸虫病、肺癌、肝癌、乳腺癌、宫颈癌、急性心肌梗死、白内障、神经母细胞瘤、儿童淋巴瘤、骨肉瘤、血友病、地中海贫血、唇腭裂、尿道下裂、脑卒中、慢性阻塞性肺气肿、膀胱癌、卵巢癌、肾癌、风湿性心脏病等三十三种由国家和湖南省认定的纳入农村贫困人口大病专项救治范围的人员，以及</w:t>
      </w:r>
      <w:r>
        <w:rPr>
          <w:rFonts w:hint="eastAsia" w:ascii="仿宋" w:hAnsi="仿宋" w:eastAsia="仿宋" w:cs="仿宋"/>
          <w:color w:val="auto"/>
          <w:kern w:val="0"/>
          <w:sz w:val="32"/>
          <w:szCs w:val="32"/>
          <w:u w:val="none"/>
          <w:lang w:eastAsia="zh-CN"/>
        </w:rPr>
        <w:t>我县</w:t>
      </w:r>
      <w:r>
        <w:rPr>
          <w:rFonts w:hint="eastAsia" w:ascii="仿宋" w:hAnsi="仿宋" w:eastAsia="仿宋" w:cs="仿宋"/>
          <w:color w:val="auto"/>
          <w:sz w:val="32"/>
          <w:szCs w:val="32"/>
          <w:u w:val="none"/>
        </w:rPr>
        <w:t>有关部门认定的其他重特大疾病，且完全丧失生活自理能力一年以上且持有中华人民共和国残疾人证的重病患者。</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第七条  个人或家庭可支配收入低于</w:t>
      </w:r>
      <w:r>
        <w:rPr>
          <w:rFonts w:hint="eastAsia" w:ascii="仿宋" w:hAnsi="仿宋" w:eastAsia="仿宋" w:cs="仿宋"/>
          <w:color w:val="auto"/>
          <w:sz w:val="32"/>
          <w:szCs w:val="32"/>
          <w:u w:val="none"/>
          <w:lang w:eastAsia="zh-CN"/>
        </w:rPr>
        <w:t>我县</w:t>
      </w:r>
      <w:r>
        <w:rPr>
          <w:rFonts w:hint="eastAsia" w:ascii="仿宋" w:hAnsi="仿宋" w:eastAsia="仿宋" w:cs="仿宋"/>
          <w:color w:val="auto"/>
          <w:sz w:val="32"/>
          <w:szCs w:val="32"/>
          <w:u w:val="none"/>
        </w:rPr>
        <w:t>最低生活保障标准，且财产符合</w:t>
      </w:r>
      <w:r>
        <w:rPr>
          <w:rFonts w:hint="eastAsia" w:ascii="仿宋" w:hAnsi="仿宋" w:eastAsia="仿宋" w:cs="仿宋"/>
          <w:color w:val="auto"/>
          <w:sz w:val="32"/>
          <w:szCs w:val="32"/>
          <w:u w:val="none"/>
          <w:lang w:eastAsia="zh-CN"/>
        </w:rPr>
        <w:t>我县</w:t>
      </w:r>
      <w:r>
        <w:rPr>
          <w:rFonts w:hint="eastAsia" w:ascii="仿宋" w:hAnsi="仿宋" w:eastAsia="仿宋" w:cs="仿宋"/>
          <w:color w:val="auto"/>
          <w:sz w:val="32"/>
          <w:szCs w:val="32"/>
          <w:u w:val="none"/>
        </w:rPr>
        <w:t>特困人员财产状况规定的，或因罹患重病、丧失生活自理能力等情况导致长期医疗护理费用刚性支出超过个人或家庭经济承受能力的，应当认定为本办法所称的无生活来源。</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第八条  前款所称收入包括工资性收入、经营</w:t>
      </w:r>
      <w:r>
        <w:rPr>
          <w:rFonts w:hint="eastAsia" w:ascii="仿宋" w:hAnsi="仿宋" w:eastAsia="仿宋" w:cs="仿宋"/>
          <w:color w:val="auto"/>
          <w:sz w:val="32"/>
          <w:szCs w:val="32"/>
          <w:u w:val="none"/>
          <w:lang w:eastAsia="zh-CN"/>
        </w:rPr>
        <w:t>性</w:t>
      </w:r>
      <w:r>
        <w:rPr>
          <w:rFonts w:hint="eastAsia" w:ascii="仿宋" w:hAnsi="仿宋" w:eastAsia="仿宋" w:cs="仿宋"/>
          <w:color w:val="auto"/>
          <w:sz w:val="32"/>
          <w:szCs w:val="32"/>
          <w:u w:val="none"/>
        </w:rPr>
        <w:t>收入、财产</w:t>
      </w:r>
      <w:r>
        <w:rPr>
          <w:rFonts w:hint="eastAsia" w:ascii="仿宋" w:hAnsi="仿宋" w:eastAsia="仿宋" w:cs="仿宋"/>
          <w:color w:val="auto"/>
          <w:sz w:val="32"/>
          <w:szCs w:val="32"/>
          <w:u w:val="none"/>
          <w:lang w:eastAsia="zh-CN"/>
        </w:rPr>
        <w:t>性</w:t>
      </w:r>
      <w:r>
        <w:rPr>
          <w:rFonts w:hint="eastAsia" w:ascii="仿宋" w:hAnsi="仿宋" w:eastAsia="仿宋" w:cs="仿宋"/>
          <w:color w:val="auto"/>
          <w:sz w:val="32"/>
          <w:szCs w:val="32"/>
          <w:u w:val="none"/>
        </w:rPr>
        <w:t>收入、转移</w:t>
      </w:r>
      <w:r>
        <w:rPr>
          <w:rFonts w:hint="eastAsia" w:ascii="仿宋" w:hAnsi="仿宋" w:eastAsia="仿宋" w:cs="仿宋"/>
          <w:color w:val="auto"/>
          <w:sz w:val="32"/>
          <w:szCs w:val="32"/>
          <w:u w:val="none"/>
          <w:lang w:eastAsia="zh-CN"/>
        </w:rPr>
        <w:t>性</w:t>
      </w:r>
      <w:r>
        <w:rPr>
          <w:rFonts w:hint="eastAsia" w:ascii="仿宋" w:hAnsi="仿宋" w:eastAsia="仿宋" w:cs="仿宋"/>
          <w:color w:val="auto"/>
          <w:sz w:val="32"/>
          <w:szCs w:val="32"/>
          <w:u w:val="none"/>
        </w:rPr>
        <w:t>收入等各类收入。城乡居民基本养老保险基础养老金、基本医疗保险等社会保险和优待抚恤金、高龄津贴、计划生育特别扶助金不计入在内。</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第九条  本办法第七条所称财产是指拥有的全部动产和不动产。动产主要包括银行存款、证券、基金、商业保险、债权、互联网金融资产以及车辆、船舶等。不动产主要包括房屋、林木等定着物。</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第十条  本办法规定以外的收入和财产的核算评估参照《邵阳</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民政局 邵阳</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财政局 邵阳</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人力资源和社会保障局 邵阳</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农业农村局 邵阳</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统计局关于印发〈邵阳</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社会救助家庭经济状况核算评估办法〉的通知》（邵民发〔2020〕20号）相关规定执行。</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第十一条  法定义务人符合下列情形之一的，应当认定为本办法所称的无履行义务能力：</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（一）特困人员；</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（二）60周岁以上的最低生活保障对象；</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（三）70周岁以上的老年人，本人收入低于</w:t>
      </w:r>
      <w:r>
        <w:rPr>
          <w:rFonts w:hint="eastAsia" w:ascii="仿宋" w:hAnsi="仿宋" w:eastAsia="仿宋" w:cs="仿宋"/>
          <w:color w:val="auto"/>
          <w:sz w:val="32"/>
          <w:szCs w:val="32"/>
          <w:u w:val="none"/>
          <w:lang w:eastAsia="zh-CN"/>
        </w:rPr>
        <w:t>我县</w:t>
      </w:r>
      <w:r>
        <w:rPr>
          <w:rFonts w:hint="eastAsia" w:ascii="仿宋" w:hAnsi="仿宋" w:eastAsia="仿宋" w:cs="仿宋"/>
          <w:color w:val="auto"/>
          <w:sz w:val="32"/>
          <w:szCs w:val="32"/>
          <w:u w:val="none"/>
        </w:rPr>
        <w:t>上年度人均可支配收入，且其财产符合</w:t>
      </w:r>
      <w:r>
        <w:rPr>
          <w:rFonts w:hint="eastAsia" w:ascii="仿宋" w:hAnsi="仿宋" w:eastAsia="仿宋" w:cs="仿宋"/>
          <w:color w:val="auto"/>
          <w:sz w:val="32"/>
          <w:szCs w:val="32"/>
          <w:u w:val="none"/>
          <w:lang w:eastAsia="zh-CN"/>
        </w:rPr>
        <w:t>我县</w:t>
      </w:r>
      <w:r>
        <w:rPr>
          <w:rFonts w:hint="eastAsia" w:ascii="仿宋" w:hAnsi="仿宋" w:eastAsia="仿宋" w:cs="仿宋"/>
          <w:color w:val="auto"/>
          <w:sz w:val="32"/>
          <w:szCs w:val="32"/>
          <w:u w:val="none"/>
        </w:rPr>
        <w:t>最低生活保障边缘家庭财产状况规定的；</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（四）重度残疾人和残疾等级为三级的智力、精神残疾人，本人收入低于</w:t>
      </w:r>
      <w:r>
        <w:rPr>
          <w:rFonts w:hint="eastAsia" w:ascii="仿宋" w:hAnsi="仿宋" w:eastAsia="仿宋" w:cs="仿宋"/>
          <w:color w:val="auto"/>
          <w:sz w:val="32"/>
          <w:szCs w:val="32"/>
          <w:u w:val="none"/>
          <w:lang w:eastAsia="zh-CN"/>
        </w:rPr>
        <w:t>我县</w:t>
      </w:r>
      <w:r>
        <w:rPr>
          <w:rFonts w:hint="eastAsia" w:ascii="仿宋" w:hAnsi="仿宋" w:eastAsia="仿宋" w:cs="仿宋"/>
          <w:color w:val="auto"/>
          <w:sz w:val="32"/>
          <w:szCs w:val="32"/>
          <w:u w:val="none"/>
        </w:rPr>
        <w:t>上年度人均可支配收入，且其财产符合</w:t>
      </w:r>
      <w:r>
        <w:rPr>
          <w:rFonts w:hint="eastAsia" w:ascii="仿宋" w:hAnsi="仿宋" w:eastAsia="仿宋" w:cs="仿宋"/>
          <w:color w:val="auto"/>
          <w:sz w:val="32"/>
          <w:szCs w:val="32"/>
          <w:u w:val="none"/>
          <w:lang w:eastAsia="zh-CN"/>
        </w:rPr>
        <w:t>我县</w:t>
      </w:r>
      <w:r>
        <w:rPr>
          <w:rFonts w:hint="eastAsia" w:ascii="仿宋" w:hAnsi="仿宋" w:eastAsia="仿宋" w:cs="仿宋"/>
          <w:color w:val="auto"/>
          <w:sz w:val="32"/>
          <w:szCs w:val="32"/>
          <w:u w:val="none"/>
        </w:rPr>
        <w:t>最低生活保障边缘家庭财产状况规定的；</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（五）无民事行为能力、被宣告失踪或者在监狱服刑的人员，且其财产符合</w:t>
      </w:r>
      <w:r>
        <w:rPr>
          <w:rFonts w:hint="eastAsia" w:ascii="仿宋" w:hAnsi="仿宋" w:eastAsia="仿宋" w:cs="仿宋"/>
          <w:color w:val="auto"/>
          <w:sz w:val="32"/>
          <w:szCs w:val="32"/>
          <w:u w:val="none"/>
          <w:lang w:eastAsia="zh-CN"/>
        </w:rPr>
        <w:t>我县</w:t>
      </w:r>
      <w:r>
        <w:rPr>
          <w:rFonts w:hint="eastAsia" w:ascii="仿宋" w:hAnsi="仿宋" w:eastAsia="仿宋" w:cs="仿宋"/>
          <w:color w:val="auto"/>
          <w:sz w:val="32"/>
          <w:szCs w:val="32"/>
          <w:u w:val="none"/>
        </w:rPr>
        <w:t>最低生活保障边缘家庭财产状况规定的。</w:t>
      </w:r>
    </w:p>
    <w:p>
      <w:pPr>
        <w:keepNext w:val="0"/>
        <w:keepLines w:val="0"/>
        <w:pageBreakBefore w:val="0"/>
        <w:kinsoku/>
        <w:overflowPunct/>
        <w:topLinePunct w:val="0"/>
        <w:autoSpaceDE/>
        <w:bidi w:val="0"/>
        <w:adjustRightInd/>
        <w:snapToGrid/>
        <w:spacing w:line="550" w:lineRule="exact"/>
        <w:jc w:val="center"/>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第三章  申请及受理</w:t>
      </w:r>
    </w:p>
    <w:p>
      <w:pPr>
        <w:keepNext w:val="0"/>
        <w:keepLines w:val="0"/>
        <w:pageBreakBefore w:val="0"/>
        <w:kinsoku/>
        <w:overflowPunct/>
        <w:topLinePunct w:val="0"/>
        <w:autoSpaceDE/>
        <w:autoSpaceDN w:val="0"/>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第十二条  申请特困人员救助供养，应当由本人向户籍所在地</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提出书面申请。本人申请有困难的，可以委托村（居）民委员会或者他人代为提出申请。实施网上申请受理的地方，可按要求通过互联网提出申请。</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申请材料主要包括本人有效身份证明</w:t>
      </w:r>
      <w:r>
        <w:rPr>
          <w:rFonts w:hint="eastAsia" w:ascii="仿宋" w:hAnsi="仿宋" w:eastAsia="仿宋" w:cs="仿宋"/>
          <w:color w:val="auto"/>
          <w:sz w:val="32"/>
          <w:szCs w:val="32"/>
          <w:u w:val="none"/>
          <w:lang w:eastAsia="zh-CN"/>
        </w:rPr>
        <w:t>、户口本</w:t>
      </w:r>
      <w:r>
        <w:rPr>
          <w:rFonts w:hint="eastAsia" w:ascii="仿宋" w:hAnsi="仿宋" w:eastAsia="仿宋" w:cs="仿宋"/>
          <w:color w:val="auto"/>
          <w:sz w:val="32"/>
          <w:szCs w:val="32"/>
          <w:u w:val="none"/>
        </w:rPr>
        <w:t>、《特困供养申请及授权书》、《申请家庭经济状况信息表》。残疾人应当提供中华人民共和国残疾人证，重特大疾病患者应当提供县级以上（含县级）医院出具的疾病诊断证明材料。</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申请人及其法定义务人应当履行授权核查家庭经济状况的相关手续。</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 第十三条  </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村（居）民委员会应当及时了解掌握本辖区内居民的生活情况，发现可能符合特困人员救助供养条件的人员，应告知其救助供养政策，对因无民事行为能力或者限制民事行为能力等原因无法提出申请的，应当主动帮助其申请。</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第十四条  </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应当对申请人或者其代理人提交的材料进行审查，材料齐备的，予以受理；材料不齐备的，应当一次性告知申请人或者其代理人补齐所有规定材料；可以通过政务服务平台查询获取的相关材料，不再要求重复提交。</w:t>
      </w:r>
    </w:p>
    <w:p>
      <w:pPr>
        <w:keepNext w:val="0"/>
        <w:keepLines w:val="0"/>
        <w:pageBreakBefore w:val="0"/>
        <w:kinsoku/>
        <w:overflowPunct/>
        <w:topLinePunct w:val="0"/>
        <w:autoSpaceDE/>
        <w:autoSpaceDN w:val="0"/>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对申请材料进行审查，做出受理或者不予受理意见，应当出具《受理意见书》，不予受理的还应说明理由。不告知的，自收到申请材料之日起即为受理。</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第十五条  有下列情形之一的，不得享受特困人员救助供养：</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（一）金融资产（</w:t>
      </w:r>
      <w:r>
        <w:rPr>
          <w:rFonts w:hint="eastAsia" w:ascii="仿宋" w:hAnsi="仿宋" w:eastAsia="仿宋" w:cs="仿宋"/>
          <w:color w:val="auto"/>
          <w:sz w:val="32"/>
          <w:szCs w:val="32"/>
          <w:u w:val="none"/>
          <w:lang w:eastAsia="zh-CN"/>
        </w:rPr>
        <w:t>现</w:t>
      </w:r>
      <w:r>
        <w:rPr>
          <w:rFonts w:hint="eastAsia" w:ascii="仿宋" w:hAnsi="仿宋" w:eastAsia="仿宋" w:cs="仿宋"/>
          <w:color w:val="auto"/>
          <w:sz w:val="32"/>
          <w:szCs w:val="32"/>
          <w:u w:val="none"/>
        </w:rPr>
        <w:t>值）超过上年度</w:t>
      </w:r>
      <w:r>
        <w:rPr>
          <w:rFonts w:hint="eastAsia" w:ascii="仿宋" w:hAnsi="仿宋" w:eastAsia="仿宋" w:cs="仿宋"/>
          <w:color w:val="auto"/>
          <w:sz w:val="32"/>
          <w:szCs w:val="32"/>
          <w:u w:val="none"/>
          <w:lang w:eastAsia="zh-CN"/>
        </w:rPr>
        <w:t>我县</w:t>
      </w:r>
      <w:r>
        <w:rPr>
          <w:rFonts w:hint="eastAsia" w:ascii="仿宋" w:hAnsi="仿宋" w:eastAsia="仿宋" w:cs="仿宋"/>
          <w:color w:val="auto"/>
          <w:sz w:val="32"/>
          <w:szCs w:val="32"/>
          <w:u w:val="none"/>
        </w:rPr>
        <w:t>居民人均消费支出的1.2倍的；</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（二）具有有价证券买卖或者其他投资行为的；</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（三）拥有两套及以上房产的（危房除外）； </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（四）申请特困人员救助供养前12个月内或享受特困人员救助供养期间非征地拆迁等原因新建或购置房产（宅基地）的；</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（五）拥有非住宅类房屋，且非兼做唯一居住场所的；</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（六）拥有机动车辆（普通两轮和三轮摩托车、残疾人用于功能性补偿代步的机动车辆除外）、工程机械、船舶、大型农机具的；</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（七）有企业登记注册且在经营的；</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（八）雇佣他人从事经营性活动的；</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（九）通过离婚、赠予、放弃继承等方式，放弃和转移财产、增加债务，知识财产消极减少，足以影响对其特困人员身份认定的。</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（十）因赌博、吸毒和其他违法行为未改正，造成生活困难的。</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（十一）有出借身份证进行企业登记注册、购买房屋、购买车辆等情形的，应当按规定办理变更登记或过户等相关手续。未按要求办理变更登记或过户的，按本人所拥有财产认定。</w:t>
      </w:r>
    </w:p>
    <w:p>
      <w:pPr>
        <w:keepNext w:val="0"/>
        <w:keepLines w:val="0"/>
        <w:pageBreakBefore w:val="0"/>
        <w:kinsoku/>
        <w:overflowPunct/>
        <w:topLinePunct w:val="0"/>
        <w:autoSpaceDE/>
        <w:autoSpaceDN w:val="0"/>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（十二）</w:t>
      </w:r>
      <w:r>
        <w:rPr>
          <w:rFonts w:hint="eastAsia" w:ascii="仿宋" w:hAnsi="仿宋" w:eastAsia="仿宋" w:cs="仿宋"/>
          <w:color w:val="auto"/>
          <w:sz w:val="32"/>
          <w:szCs w:val="32"/>
          <w:u w:val="none"/>
          <w:lang w:eastAsia="zh-CN"/>
        </w:rPr>
        <w:t>县人民</w:t>
      </w:r>
      <w:r>
        <w:rPr>
          <w:rFonts w:hint="eastAsia" w:ascii="仿宋" w:hAnsi="仿宋" w:eastAsia="仿宋" w:cs="仿宋"/>
          <w:color w:val="auto"/>
          <w:sz w:val="32"/>
          <w:szCs w:val="32"/>
          <w:u w:val="none"/>
        </w:rPr>
        <w:t>政府规定不得享受特困人员救助供养的其他情形。</w:t>
      </w:r>
    </w:p>
    <w:p>
      <w:pPr>
        <w:keepNext w:val="0"/>
        <w:keepLines w:val="0"/>
        <w:pageBreakBefore w:val="0"/>
        <w:widowControl w:val="0"/>
        <w:kinsoku/>
        <w:wordWrap/>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同时符合特困人员救助供养条件的孤儿、事实无人抚养儿童认定条件的未成年人，选择申请纳入孤儿、事实无人抚养儿童基本生活保障范围的，不再认定为特困人员。</w:t>
      </w:r>
    </w:p>
    <w:p>
      <w:pPr>
        <w:keepNext w:val="0"/>
        <w:keepLines w:val="0"/>
        <w:pageBreakBefore w:val="0"/>
        <w:widowControl w:val="0"/>
        <w:kinsoku/>
        <w:wordWrap/>
        <w:overflowPunct/>
        <w:topLinePunct w:val="0"/>
        <w:autoSpaceDE/>
        <w:bidi w:val="0"/>
        <w:adjustRightInd/>
        <w:snapToGrid/>
        <w:spacing w:line="550" w:lineRule="exact"/>
        <w:jc w:val="center"/>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第四章  家庭经济状况调查</w:t>
      </w:r>
    </w:p>
    <w:p>
      <w:pPr>
        <w:keepNext w:val="0"/>
        <w:keepLines w:val="0"/>
        <w:pageBreakBefore w:val="0"/>
        <w:widowControl w:val="0"/>
        <w:kinsoku/>
        <w:wordWrap/>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第十六条  </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应当自受理特困人员救助供养申请之日起2个工作日内，提请县级人民政府民政部门居民家庭经济状况核对工作机构对申请人及其法定义务人开展家庭经济状况信息核对。</w:t>
      </w:r>
    </w:p>
    <w:p>
      <w:pPr>
        <w:keepNext w:val="0"/>
        <w:keepLines w:val="0"/>
        <w:pageBreakBefore w:val="0"/>
        <w:widowControl w:val="0"/>
        <w:kinsoku/>
        <w:wordWrap/>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第十七条  </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应当在提请开展家庭状况信息核对的同时，通过入户调查、邻里访问、信函索证等方式对申请人的经济状况、实际生活状况以及赡养、抚养、扶养状况等进行调查核实。</w:t>
      </w:r>
    </w:p>
    <w:p>
      <w:pPr>
        <w:keepNext w:val="0"/>
        <w:keepLines w:val="0"/>
        <w:pageBreakBefore w:val="0"/>
        <w:widowControl w:val="0"/>
        <w:kinsoku/>
        <w:wordWrap/>
        <w:overflowPunct/>
        <w:topLinePunct w:val="0"/>
        <w:autoSpaceDE/>
        <w:autoSpaceDN w:val="0"/>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（一）入户调查。调查人员到申请人家庭中了解家庭收入、财产情况和吃、穿、住、用及其他家庭支出等实际生活情况。</w:t>
      </w:r>
    </w:p>
    <w:p>
      <w:pPr>
        <w:keepNext w:val="0"/>
        <w:keepLines w:val="0"/>
        <w:pageBreakBefore w:val="0"/>
        <w:widowControl w:val="0"/>
        <w:kinsoku/>
        <w:wordWrap/>
        <w:overflowPunct/>
        <w:topLinePunct w:val="0"/>
        <w:autoSpaceDE/>
        <w:autoSpaceDN w:val="0"/>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（二）邻里访问。调查人员到申请人所在村（居）民委员会和社区，走访了解其家庭收入、支出、财产和实际生活状况。</w:t>
      </w:r>
    </w:p>
    <w:p>
      <w:pPr>
        <w:keepNext w:val="0"/>
        <w:keepLines w:val="0"/>
        <w:pageBreakBefore w:val="0"/>
        <w:widowControl w:val="0"/>
        <w:kinsoku/>
        <w:wordWrap/>
        <w:overflowPunct/>
        <w:topLinePunct w:val="0"/>
        <w:autoSpaceDE/>
        <w:autoSpaceDN w:val="0"/>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（三）信函索证。调查人员以信函等方式向相关单位和部门索取有关佐证材料。</w:t>
      </w:r>
    </w:p>
    <w:p>
      <w:pPr>
        <w:keepNext w:val="0"/>
        <w:keepLines w:val="0"/>
        <w:pageBreakBefore w:val="0"/>
        <w:widowControl w:val="0"/>
        <w:kinsoku/>
        <w:wordWrap/>
        <w:overflowPunct/>
        <w:topLinePunct w:val="0"/>
        <w:autoSpaceDE/>
        <w:autoSpaceDN w:val="0"/>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入户调查和邻里访问调查核实人员不得少于2人，调查完毕应当出具调查结果，填写好《入户调查表》，由调查人员和在场的申请家庭共同生活的家庭成员分别签字或按指纹确认。</w:t>
      </w:r>
    </w:p>
    <w:p>
      <w:pPr>
        <w:keepNext w:val="0"/>
        <w:keepLines w:val="0"/>
        <w:pageBreakBefore w:val="0"/>
        <w:kinsoku/>
        <w:overflowPunct/>
        <w:topLinePunct w:val="0"/>
        <w:autoSpaceDE/>
        <w:autoSpaceDN w:val="0"/>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发生重大突发事件不便于实地调查核实时，前款规定的入户调查、邻里访问可以采取电话、视频等非接触方式进行。</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第十八条  申请人以及有关单位、组织或者个人应当配合调查，如实提供有关情况。村（居）民委员会应当协助</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开展调查工作。</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第十九条  县民政部门居民家庭经济状况核对工作机构根据需要，依法依规对申请人及其法定义务人的户籍、纳税记录、社会保险缴纳、不动产登记、</w:t>
      </w:r>
      <w:r>
        <w:rPr>
          <w:rFonts w:hint="eastAsia" w:ascii="仿宋" w:hAnsi="仿宋" w:eastAsia="仿宋" w:cs="仿宋"/>
          <w:color w:val="auto"/>
          <w:sz w:val="32"/>
          <w:szCs w:val="32"/>
          <w:u w:val="none"/>
          <w:lang w:eastAsia="zh-CN"/>
        </w:rPr>
        <w:t>市场</w:t>
      </w:r>
      <w:r>
        <w:rPr>
          <w:rFonts w:hint="eastAsia" w:ascii="仿宋" w:hAnsi="仿宋" w:eastAsia="仿宋" w:cs="仿宋"/>
          <w:color w:val="auto"/>
          <w:sz w:val="32"/>
          <w:szCs w:val="32"/>
          <w:u w:val="none"/>
        </w:rPr>
        <w:t>主体登记、住房公积金缴纳、车船登记，以及银行存款、商业保险、证券、互联网金融资产等信息开展家庭经济状况核对。核对结果应当自收到乡镇（</w:t>
      </w:r>
      <w:r>
        <w:rPr>
          <w:rFonts w:hint="eastAsia" w:ascii="仿宋" w:hAnsi="仿宋" w:eastAsia="仿宋" w:cs="仿宋"/>
          <w:color w:val="auto"/>
          <w:sz w:val="32"/>
          <w:szCs w:val="32"/>
          <w:u w:val="none"/>
          <w:lang w:eastAsia="zh-CN"/>
        </w:rPr>
        <w:t>场</w:t>
      </w:r>
      <w:r>
        <w:rPr>
          <w:rFonts w:hint="eastAsia" w:ascii="仿宋" w:hAnsi="仿宋" w:eastAsia="仿宋" w:cs="仿宋"/>
          <w:color w:val="auto"/>
          <w:sz w:val="32"/>
          <w:szCs w:val="32"/>
          <w:u w:val="none"/>
        </w:rPr>
        <w:t>）的家庭经济状况信息核对提请后9个工作日内反馈。</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第二十条  调查核实过程中，</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可视情</w:t>
      </w:r>
      <w:r>
        <w:rPr>
          <w:rFonts w:hint="eastAsia" w:ascii="仿宋" w:hAnsi="仿宋" w:eastAsia="仿宋" w:cs="仿宋"/>
          <w:color w:val="auto"/>
          <w:sz w:val="32"/>
          <w:szCs w:val="32"/>
          <w:u w:val="none"/>
          <w:lang w:eastAsia="zh-CN"/>
        </w:rPr>
        <w:t>况</w:t>
      </w:r>
      <w:r>
        <w:rPr>
          <w:rFonts w:hint="eastAsia" w:ascii="仿宋" w:hAnsi="仿宋" w:eastAsia="仿宋" w:cs="仿宋"/>
          <w:color w:val="auto"/>
          <w:sz w:val="32"/>
          <w:szCs w:val="32"/>
          <w:u w:val="none"/>
        </w:rPr>
        <w:t>组织民主评议，在村（居）民委员会协助下，对申请人书面声明内容的真实性、完整性及调查核实结果的客观性进行评议。</w:t>
      </w:r>
    </w:p>
    <w:p>
      <w:pPr>
        <w:keepNext w:val="0"/>
        <w:keepLines w:val="0"/>
        <w:pageBreakBefore w:val="0"/>
        <w:kinsoku/>
        <w:overflowPunct/>
        <w:topLinePunct w:val="0"/>
        <w:autoSpaceDE/>
        <w:autoSpaceDN w:val="0"/>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第二十一条  经家庭经济状况调查，乡镇（</w:t>
      </w:r>
      <w:r>
        <w:rPr>
          <w:rFonts w:hint="eastAsia" w:ascii="仿宋" w:hAnsi="仿宋" w:eastAsia="仿宋" w:cs="仿宋"/>
          <w:color w:val="auto"/>
          <w:sz w:val="32"/>
          <w:szCs w:val="32"/>
          <w:u w:val="none"/>
          <w:lang w:eastAsia="zh-CN"/>
        </w:rPr>
        <w:t>场</w:t>
      </w:r>
      <w:r>
        <w:rPr>
          <w:rFonts w:hint="eastAsia" w:ascii="仿宋" w:hAnsi="仿宋" w:eastAsia="仿宋" w:cs="仿宋"/>
          <w:color w:val="auto"/>
          <w:sz w:val="32"/>
          <w:szCs w:val="32"/>
          <w:u w:val="none"/>
        </w:rPr>
        <w:t>）工作人员要填写好《申请特困供养收入核算评估表》，不符合条件的特困供养申请，</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应当自得出调查结果后3个工作日内将《申请特困供养不予审批告知书》书面告知申请人。</w:t>
      </w:r>
    </w:p>
    <w:p>
      <w:pPr>
        <w:keepNext w:val="0"/>
        <w:keepLines w:val="0"/>
        <w:pageBreakBefore w:val="0"/>
        <w:kinsoku/>
        <w:overflowPunct/>
        <w:topLinePunct w:val="0"/>
        <w:autoSpaceDE/>
        <w:autoSpaceDN w:val="0"/>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申请人有异议的，应当提供相关佐证材料；</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应当组织开展复查。</w:t>
      </w:r>
    </w:p>
    <w:p>
      <w:pPr>
        <w:keepNext w:val="0"/>
        <w:keepLines w:val="0"/>
        <w:pageBreakBefore w:val="0"/>
        <w:numPr>
          <w:ilvl w:val="0"/>
          <w:numId w:val="2"/>
        </w:numPr>
        <w:kinsoku/>
        <w:overflowPunct/>
        <w:topLinePunct w:val="0"/>
        <w:autoSpaceDE/>
        <w:bidi w:val="0"/>
        <w:adjustRightInd/>
        <w:snapToGrid/>
        <w:spacing w:line="550" w:lineRule="exact"/>
        <w:jc w:val="center"/>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 审核确认</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第二十二条  乡镇（</w:t>
      </w:r>
      <w:r>
        <w:rPr>
          <w:rFonts w:hint="eastAsia" w:ascii="仿宋" w:hAnsi="仿宋" w:eastAsia="仿宋" w:cs="仿宋"/>
          <w:color w:val="auto"/>
          <w:sz w:val="32"/>
          <w:szCs w:val="32"/>
          <w:u w:val="none"/>
          <w:lang w:eastAsia="zh-CN"/>
        </w:rPr>
        <w:t>场</w:t>
      </w:r>
      <w:r>
        <w:rPr>
          <w:rFonts w:hint="eastAsia" w:ascii="仿宋" w:hAnsi="仿宋" w:eastAsia="仿宋" w:cs="仿宋"/>
          <w:color w:val="auto"/>
          <w:sz w:val="32"/>
          <w:szCs w:val="32"/>
          <w:u w:val="none"/>
        </w:rPr>
        <w:t>）应当根据家庭经济状况调查核实情况，填写《特困供养审核审批表》，提出初审意见，并在申请人所在村（社区）务公开栏张贴《新增特困供养对象审核公示单》进行公示。公示期为7天。公示期满无异议的，</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应当在3个工作日内将申请材料、家庭经济状况调查核实结果、初审意见等相关材料报送县级人民政府民政部门。对公示有异议的，申请人或者其代理人应当提供相关佐证材料，</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应当重新组织调查核实或者开展民主评议，重新提出初审意见并公示。</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第二十三条  县级人民政府民政部门应当全面审核</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上报的申请材料、家庭经济状况调查核实结果和初审意见，按照不低于30%的比例随机抽查核实，并在5个工作日内提出审核确认意见。</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第二十四条  对符合救助供养条件的申请，应当及时予以确认，建立救助供养档案，从确认之日下月起给予救助供养待遇，并通过</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在申请人所在村（社区）务公开栏张贴盖有县级人民政府民政部门公章的《审批公示单》予以公布。对不符合条件的不予确认同意，并自作出决定3个工作日内，通过</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对申请对象送达《申请特困供养对象不予批准告知书》，书面告知申请人或者其代理人并说明理由。</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第二十五条  特困人员救助供养审核确认工作应当自受理之日起25个工作日内完成；特殊情况下，审核确认时限不得超过40个工作日。</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第二十六条  县级人民政府民政部门应当在特困人员所在村（社区）务公开栏及相关官方网站公布特困人员姓名、家庭救助供养人数、生活自理能力等级、救助供养标准等信息，其中在村（社区）务公开栏公布的信息应当加盖县级人民政府民政部门或</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公章。</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信息公布应当依法保护个人隐私，不得公开对象身份证号码、手机号、金融账号以及未成年人个人信息等无关信息。</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第二十七条  未经申请受理、家庭经济状况调查、审核确认等程序，不得将任何家庭或者个人直接纳入特困人员救助供养范围。</w:t>
      </w:r>
    </w:p>
    <w:p>
      <w:pPr>
        <w:keepNext w:val="0"/>
        <w:keepLines w:val="0"/>
        <w:pageBreakBefore w:val="0"/>
        <w:numPr>
          <w:ilvl w:val="0"/>
          <w:numId w:val="2"/>
        </w:numPr>
        <w:kinsoku/>
        <w:overflowPunct/>
        <w:topLinePunct w:val="0"/>
        <w:autoSpaceDE/>
        <w:bidi w:val="0"/>
        <w:adjustRightInd/>
        <w:snapToGrid/>
        <w:spacing w:line="550" w:lineRule="exact"/>
        <w:jc w:val="center"/>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 生活自理能力评估</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第二十八条  县级人民政府民政部门应当在</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、村（</w:t>
      </w:r>
      <w:r>
        <w:rPr>
          <w:rFonts w:hint="eastAsia" w:ascii="仿宋" w:hAnsi="仿宋" w:eastAsia="仿宋" w:cs="仿宋"/>
          <w:color w:val="auto"/>
          <w:sz w:val="32"/>
          <w:szCs w:val="32"/>
          <w:u w:val="none"/>
          <w:lang w:eastAsia="zh-CN"/>
        </w:rPr>
        <w:t>社区</w:t>
      </w:r>
      <w:r>
        <w:rPr>
          <w:rFonts w:hint="eastAsia" w:ascii="仿宋" w:hAnsi="仿宋" w:eastAsia="仿宋" w:cs="仿宋"/>
          <w:color w:val="auto"/>
          <w:sz w:val="32"/>
          <w:szCs w:val="32"/>
          <w:u w:val="none"/>
        </w:rPr>
        <w:t>）协助下，对特困人员生活自理能力进行评估，并根据评估结果，确定特困人员应当享受的照料护理标准档次。有条件的地方，可以委托第三方机构开展特困人员生活自理能力评估。</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第二十九条  特困人员生活自理能力，一般依据以下6项指标综合评估：</w:t>
      </w:r>
    </w:p>
    <w:p>
      <w:pPr>
        <w:keepNext w:val="0"/>
        <w:keepLines w:val="0"/>
        <w:pageBreakBefore w:val="0"/>
        <w:numPr>
          <w:ilvl w:val="0"/>
          <w:numId w:val="3"/>
        </w:numPr>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自主吃饭；</w:t>
      </w:r>
    </w:p>
    <w:p>
      <w:pPr>
        <w:keepNext w:val="0"/>
        <w:keepLines w:val="0"/>
        <w:pageBreakBefore w:val="0"/>
        <w:numPr>
          <w:ilvl w:val="0"/>
          <w:numId w:val="3"/>
        </w:numPr>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自主穿衣；</w:t>
      </w:r>
    </w:p>
    <w:p>
      <w:pPr>
        <w:keepNext w:val="0"/>
        <w:keepLines w:val="0"/>
        <w:pageBreakBefore w:val="0"/>
        <w:numPr>
          <w:ilvl w:val="0"/>
          <w:numId w:val="3"/>
        </w:numPr>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自主上下床；</w:t>
      </w:r>
    </w:p>
    <w:p>
      <w:pPr>
        <w:keepNext w:val="0"/>
        <w:keepLines w:val="0"/>
        <w:pageBreakBefore w:val="0"/>
        <w:numPr>
          <w:ilvl w:val="0"/>
          <w:numId w:val="3"/>
        </w:numPr>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自主如厕；</w:t>
      </w:r>
    </w:p>
    <w:p>
      <w:pPr>
        <w:keepNext w:val="0"/>
        <w:keepLines w:val="0"/>
        <w:pageBreakBefore w:val="0"/>
        <w:numPr>
          <w:ilvl w:val="0"/>
          <w:numId w:val="3"/>
        </w:numPr>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室内自主行走；</w:t>
      </w:r>
    </w:p>
    <w:p>
      <w:pPr>
        <w:keepNext w:val="0"/>
        <w:keepLines w:val="0"/>
        <w:pageBreakBefore w:val="0"/>
        <w:numPr>
          <w:ilvl w:val="0"/>
          <w:numId w:val="3"/>
        </w:numPr>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自主洗澡。</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第三十条  根据本办法第二十九条规定内容，特困人员生活自理状况6项评估指标全部达到的，可以视为具备生活自理能力；有3项以下（含3项）指标不能达到的，可以视为部分丧失生活自理能力；有4项以上（含4项）指标不能达到的，可以视为完全丧失生活自理能力。</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第三十一条  特困人员生活自理能力发生变化的，本人、照料服务人、村（</w:t>
      </w:r>
      <w:r>
        <w:rPr>
          <w:rFonts w:hint="eastAsia" w:ascii="仿宋" w:hAnsi="仿宋" w:eastAsia="仿宋" w:cs="仿宋"/>
          <w:color w:val="auto"/>
          <w:sz w:val="32"/>
          <w:szCs w:val="32"/>
          <w:u w:val="none"/>
          <w:lang w:eastAsia="zh-CN"/>
        </w:rPr>
        <w:t>社区</w:t>
      </w:r>
      <w:r>
        <w:rPr>
          <w:rFonts w:hint="eastAsia" w:ascii="仿宋" w:hAnsi="仿宋" w:eastAsia="仿宋" w:cs="仿宋"/>
          <w:color w:val="auto"/>
          <w:sz w:val="32"/>
          <w:szCs w:val="32"/>
          <w:u w:val="none"/>
        </w:rPr>
        <w:t>）或者供养服务机构应当通过</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及时报告县级人民政府民政部门，县级人民政府民政部门应当自接到报告之日起10个工作日内组织复核评估，并根据评估结果及时调整特困人员生活自理能力认定类别。</w:t>
      </w:r>
    </w:p>
    <w:p>
      <w:pPr>
        <w:keepNext w:val="0"/>
        <w:keepLines w:val="0"/>
        <w:pageBreakBefore w:val="0"/>
        <w:numPr>
          <w:ilvl w:val="0"/>
          <w:numId w:val="2"/>
        </w:numPr>
        <w:kinsoku/>
        <w:overflowPunct/>
        <w:topLinePunct w:val="0"/>
        <w:autoSpaceDE/>
        <w:bidi w:val="0"/>
        <w:adjustRightInd/>
        <w:snapToGrid/>
        <w:spacing w:line="550" w:lineRule="exact"/>
        <w:jc w:val="center"/>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 终止救助供养</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第三十二条  特困人员有下列情形之一的，应当及时终止救助供养：</w:t>
      </w:r>
    </w:p>
    <w:p>
      <w:pPr>
        <w:keepNext w:val="0"/>
        <w:keepLines w:val="0"/>
        <w:pageBreakBefore w:val="0"/>
        <w:numPr>
          <w:ilvl w:val="0"/>
          <w:numId w:val="4"/>
        </w:numPr>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死亡或者被宣告死亡、被宣告失踪；</w:t>
      </w:r>
    </w:p>
    <w:p>
      <w:pPr>
        <w:keepNext w:val="0"/>
        <w:keepLines w:val="0"/>
        <w:pageBreakBefore w:val="0"/>
        <w:numPr>
          <w:ilvl w:val="0"/>
          <w:numId w:val="4"/>
        </w:numPr>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具备或者恢复劳动能力；</w:t>
      </w:r>
    </w:p>
    <w:p>
      <w:pPr>
        <w:keepNext w:val="0"/>
        <w:keepLines w:val="0"/>
        <w:pageBreakBefore w:val="0"/>
        <w:numPr>
          <w:ilvl w:val="0"/>
          <w:numId w:val="4"/>
        </w:numPr>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依法被判处刑罚，且在监狱服刑；</w:t>
      </w:r>
    </w:p>
    <w:p>
      <w:pPr>
        <w:keepNext w:val="0"/>
        <w:keepLines w:val="0"/>
        <w:pageBreakBefore w:val="0"/>
        <w:numPr>
          <w:ilvl w:val="0"/>
          <w:numId w:val="4"/>
        </w:numPr>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收入和财产状况不再符合本办法规定；</w:t>
      </w:r>
    </w:p>
    <w:p>
      <w:pPr>
        <w:keepNext w:val="0"/>
        <w:keepLines w:val="0"/>
        <w:pageBreakBefore w:val="0"/>
        <w:numPr>
          <w:ilvl w:val="0"/>
          <w:numId w:val="4"/>
        </w:numPr>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法定义务人具有了履行义务能力或者新增具有履行义务能力的法定义务人；</w:t>
      </w:r>
    </w:p>
    <w:p>
      <w:pPr>
        <w:keepNext w:val="0"/>
        <w:keepLines w:val="0"/>
        <w:pageBreakBefore w:val="0"/>
        <w:numPr>
          <w:ilvl w:val="0"/>
          <w:numId w:val="4"/>
        </w:numPr>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自愿申请退出救助供养。</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特困人员中的未成年人，可继续享有救助供养待遇至18周岁；年满18周岁仍在接受义务教育或者在普通高中、中等职业学校就读的，可继续享受救助供养待遇。</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第三十三条  特困人员不再符合救助供养条件的，本人、照料服务人、村（</w:t>
      </w:r>
      <w:r>
        <w:rPr>
          <w:rFonts w:hint="eastAsia" w:ascii="仿宋" w:hAnsi="仿宋" w:eastAsia="仿宋" w:cs="仿宋"/>
          <w:color w:val="auto"/>
          <w:sz w:val="32"/>
          <w:szCs w:val="32"/>
          <w:u w:val="none"/>
          <w:lang w:eastAsia="zh-CN"/>
        </w:rPr>
        <w:t>社区</w:t>
      </w:r>
      <w:r>
        <w:rPr>
          <w:rFonts w:hint="eastAsia" w:ascii="仿宋" w:hAnsi="仿宋" w:eastAsia="仿宋" w:cs="仿宋"/>
          <w:color w:val="auto"/>
          <w:sz w:val="32"/>
          <w:szCs w:val="32"/>
          <w:u w:val="none"/>
        </w:rPr>
        <w:t>）或者供养服务机构应当在30日内告知</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，由</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调查核实并报县级人民政府民政部门核准。</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县级人民政府民政部门、</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在工作中发现特困人员不再符合救助供养条件的，应当及时按程序办理终止救助供养手续。</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第三十四条  对拟终止救助供养的特困人员，县级人民政府民政部门应当通过</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，在其所在村（社区）或者供养服务机构张贴《拟终止特困供养对象公示单》予以公示，公示期为7天。</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公示期满无异议的，县级人民政府民政部门应当作出终止决定并从下月起终止发放救助供养金。对公示有异议的，县级人民政府民政部门应当组织调查核实，在10个工作日内作出是否终止救助供养决定，并重新公示。对决定终止救助供养的，应当通过</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将《特困供养停发告知书》及终止理由书面告知当事人和村（</w:t>
      </w:r>
      <w:r>
        <w:rPr>
          <w:rFonts w:hint="eastAsia" w:ascii="仿宋" w:hAnsi="仿宋" w:eastAsia="仿宋" w:cs="仿宋"/>
          <w:color w:val="auto"/>
          <w:sz w:val="32"/>
          <w:szCs w:val="32"/>
          <w:u w:val="none"/>
          <w:lang w:eastAsia="zh-CN"/>
        </w:rPr>
        <w:t>社区</w:t>
      </w:r>
      <w:r>
        <w:rPr>
          <w:rFonts w:hint="eastAsia" w:ascii="仿宋" w:hAnsi="仿宋" w:eastAsia="仿宋" w:cs="仿宋"/>
          <w:color w:val="auto"/>
          <w:sz w:val="32"/>
          <w:szCs w:val="32"/>
          <w:u w:val="none"/>
        </w:rPr>
        <w:t>）或者供养服务机构。</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第三十五条  对终止救助供养的原特困人员，符合最低生活保障、临时救助等其他社会救助条件的，应当按规定及时纳入相应救助范围。</w:t>
      </w:r>
    </w:p>
    <w:p>
      <w:pPr>
        <w:keepNext w:val="0"/>
        <w:keepLines w:val="0"/>
        <w:pageBreakBefore w:val="0"/>
        <w:numPr>
          <w:ilvl w:val="0"/>
          <w:numId w:val="2"/>
        </w:numPr>
        <w:kinsoku/>
        <w:overflowPunct/>
        <w:topLinePunct w:val="0"/>
        <w:autoSpaceDE/>
        <w:bidi w:val="0"/>
        <w:adjustRightInd/>
        <w:snapToGrid/>
        <w:spacing w:line="550" w:lineRule="exact"/>
        <w:jc w:val="center"/>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 管理和监督</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第三十六条  申请人及其法定义务人应当积极配合县级人民政府民政部门和</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开展的家庭经济状况调查、生活自理能力评估等认定工作，无正当理由拒不配合的，县级人民政府民政部门和</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可以终止认定程序。</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第三十七条  </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应当每年对特困人员的家庭经济状况核查一次，县级人民政府民政部门应当每年按不低于30%的比例对特困人员的家庭经济状况随机抽查一次，并及时填写《特困供养对象动态管理记录表》，根据核查情况决定继续或终止救助供养。县级人民政府民政部门应当每年对特困人员的生活自理能力状况评估一次，并根据评估结果及时调整特困人员生活自理能力认定类别。</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第三十八条  特困人员及其法定义务人应当积极配合县级人民政府民政部门和乡镇（</w:t>
      </w:r>
      <w:r>
        <w:rPr>
          <w:rFonts w:hint="eastAsia" w:ascii="仿宋" w:hAnsi="仿宋" w:eastAsia="仿宋" w:cs="仿宋"/>
          <w:color w:val="auto"/>
          <w:sz w:val="32"/>
          <w:szCs w:val="32"/>
          <w:u w:val="none"/>
          <w:lang w:eastAsia="zh-CN"/>
        </w:rPr>
        <w:t>场</w:t>
      </w:r>
      <w:r>
        <w:rPr>
          <w:rFonts w:hint="eastAsia" w:ascii="仿宋" w:hAnsi="仿宋" w:eastAsia="仿宋" w:cs="仿宋"/>
          <w:color w:val="auto"/>
          <w:sz w:val="32"/>
          <w:szCs w:val="32"/>
          <w:u w:val="none"/>
        </w:rPr>
        <w:t>）开展的抽查、核查、评估工作。连续两次无正当理由拒不配合，导致无法准确核查其家庭经济状况的，县级人民政府民政部门可以暂停其特困人员救助供养待遇。</w:t>
      </w:r>
    </w:p>
    <w:p>
      <w:pPr>
        <w:keepNext w:val="0"/>
        <w:keepLines w:val="0"/>
        <w:pageBreakBefore w:val="0"/>
        <w:kinsoku/>
        <w:overflowPunct/>
        <w:topLinePunct w:val="0"/>
        <w:autoSpaceDE/>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第三十九条  县级人民政府民政部门作出暂停特困人员救助供养待遇的决定，应当符合法定事由和规定程序，并通过</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将暂停理由书面告知当事人、村（</w:t>
      </w:r>
      <w:r>
        <w:rPr>
          <w:rFonts w:hint="eastAsia" w:ascii="仿宋" w:hAnsi="仿宋" w:eastAsia="仿宋" w:cs="仿宋"/>
          <w:color w:val="auto"/>
          <w:sz w:val="32"/>
          <w:szCs w:val="32"/>
          <w:u w:val="none"/>
          <w:lang w:eastAsia="zh-CN"/>
        </w:rPr>
        <w:t>社区</w:t>
      </w:r>
      <w:r>
        <w:rPr>
          <w:rFonts w:hint="eastAsia" w:ascii="仿宋" w:hAnsi="仿宋" w:eastAsia="仿宋" w:cs="仿宋"/>
          <w:color w:val="auto"/>
          <w:sz w:val="32"/>
          <w:szCs w:val="32"/>
          <w:u w:val="none"/>
        </w:rPr>
        <w:t>）或者供养服务机构。</w:t>
      </w:r>
    </w:p>
    <w:p>
      <w:pPr>
        <w:keepNext w:val="0"/>
        <w:keepLines w:val="0"/>
        <w:pageBreakBefore w:val="0"/>
        <w:kinsoku/>
        <w:overflowPunct/>
        <w:topLinePunct w:val="0"/>
        <w:autoSpaceDE/>
        <w:autoSpaceDN w:val="0"/>
        <w:bidi w:val="0"/>
        <w:adjustRightInd/>
        <w:snapToGrid/>
        <w:spacing w:line="55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第四十条  特困人员救助供养标准城乡不一致的地区，对于持有非农业户口的特困人员，给予</w:t>
      </w:r>
      <w:r>
        <w:rPr>
          <w:rFonts w:hint="eastAsia" w:ascii="仿宋" w:hAnsi="仿宋" w:eastAsia="仿宋" w:cs="仿宋"/>
          <w:color w:val="auto"/>
          <w:sz w:val="32"/>
          <w:szCs w:val="32"/>
          <w:u w:val="none"/>
          <w:lang w:eastAsia="zh-CN"/>
        </w:rPr>
        <w:t>城市</w:t>
      </w:r>
      <w:r>
        <w:rPr>
          <w:rFonts w:hint="eastAsia" w:ascii="仿宋" w:hAnsi="仿宋" w:eastAsia="仿宋" w:cs="仿宋"/>
          <w:color w:val="auto"/>
          <w:sz w:val="32"/>
          <w:szCs w:val="32"/>
          <w:u w:val="none"/>
        </w:rPr>
        <w:t>特困人员救助供养；对于持有农业户口的特困人员，给予农村特困人员救助供养。取消农业和非农业户口划分的地区，户籍所在地为城镇且居住超过一定期限（一般为1年）、 无承包土地、不参加农村集体经济收益分配的居民，一般给予城</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特困人员救助供养；其他特困人员给予农村特困人员救助供养。实施易地扶贫搬迁至城镇地区的，给予城</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特困人员救助供养待遇。</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第四十一条  特困人员基本生活标准应当不低于</w:t>
      </w:r>
      <w:r>
        <w:rPr>
          <w:rFonts w:hint="eastAsia" w:ascii="仿宋" w:hAnsi="仿宋" w:eastAsia="仿宋" w:cs="仿宋"/>
          <w:color w:val="auto"/>
          <w:sz w:val="32"/>
          <w:szCs w:val="32"/>
          <w:u w:val="none"/>
          <w:lang w:eastAsia="zh-CN"/>
        </w:rPr>
        <w:t>我县</w:t>
      </w:r>
      <w:r>
        <w:rPr>
          <w:rFonts w:hint="eastAsia" w:ascii="仿宋" w:hAnsi="仿宋" w:eastAsia="仿宋" w:cs="仿宋"/>
          <w:color w:val="auto"/>
          <w:sz w:val="32"/>
          <w:szCs w:val="32"/>
          <w:u w:val="none"/>
        </w:rPr>
        <w:t>当年最低生活保障标准的1.3倍；照料护理标准分为全自理、半护理、全护理三档，应当分别按不低于</w:t>
      </w:r>
      <w:r>
        <w:rPr>
          <w:rFonts w:hint="eastAsia" w:ascii="仿宋" w:hAnsi="仿宋" w:eastAsia="仿宋" w:cs="仿宋"/>
          <w:color w:val="auto"/>
          <w:sz w:val="32"/>
          <w:szCs w:val="32"/>
          <w:u w:val="none"/>
          <w:lang w:eastAsia="zh-CN"/>
        </w:rPr>
        <w:t>我县</w:t>
      </w:r>
      <w:r>
        <w:rPr>
          <w:rFonts w:hint="eastAsia" w:ascii="仿宋" w:hAnsi="仿宋" w:eastAsia="仿宋" w:cs="仿宋"/>
          <w:color w:val="auto"/>
          <w:sz w:val="32"/>
          <w:szCs w:val="32"/>
          <w:u w:val="none"/>
        </w:rPr>
        <w:t>上年度最低工资标准的十分之一、六分之一、三分之一测算安排照料护理费。</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县级人民政府民政部门统筹管理使用照料护理费，并根据实际情况确定特困人员照料护理费具体发放标准。照料护理费可用于购买特困人员日常生活照料护理服务、生病住院期间照料护理保险等。</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特困人员基本生活费和照料护理费应当实行按月社会化发放。发放到个人账户的资金应当通过惠民惠农财政补贴资金“一卡通”账户进行拨付。</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第四十二条  </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或村（</w:t>
      </w:r>
      <w:r>
        <w:rPr>
          <w:rFonts w:hint="eastAsia" w:ascii="仿宋" w:hAnsi="仿宋" w:eastAsia="仿宋" w:cs="仿宋"/>
          <w:color w:val="auto"/>
          <w:sz w:val="32"/>
          <w:szCs w:val="32"/>
          <w:u w:val="none"/>
          <w:lang w:eastAsia="zh-CN"/>
        </w:rPr>
        <w:t>社区</w:t>
      </w:r>
      <w:r>
        <w:rPr>
          <w:rFonts w:hint="eastAsia" w:ascii="仿宋" w:hAnsi="仿宋" w:eastAsia="仿宋" w:cs="仿宋"/>
          <w:color w:val="auto"/>
          <w:sz w:val="32"/>
          <w:szCs w:val="32"/>
          <w:u w:val="none"/>
        </w:rPr>
        <w:t>）相关工作人员代为保管用于领取救助供养金的银行卡或银行存折的，应当与特困人员本人或者其代理人签订书面协议并报县级人民政府民政部门备案。</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第四十三条  特困人员丧葬费标准应当不高于</w:t>
      </w:r>
      <w:r>
        <w:rPr>
          <w:rFonts w:hint="eastAsia" w:ascii="仿宋" w:hAnsi="仿宋" w:eastAsia="仿宋" w:cs="仿宋"/>
          <w:color w:val="auto"/>
          <w:sz w:val="32"/>
          <w:szCs w:val="32"/>
          <w:u w:val="none"/>
          <w:lang w:eastAsia="zh-CN"/>
        </w:rPr>
        <w:t>我县</w:t>
      </w:r>
      <w:r>
        <w:rPr>
          <w:rFonts w:hint="eastAsia" w:ascii="仿宋" w:hAnsi="仿宋" w:eastAsia="仿宋" w:cs="仿宋"/>
          <w:color w:val="auto"/>
          <w:sz w:val="32"/>
          <w:szCs w:val="32"/>
          <w:u w:val="none"/>
        </w:rPr>
        <w:t>当年特困人员一年的基本生活标准。所需资金从困难群众救助补助资金中列支，由举办丧事的村（</w:t>
      </w:r>
      <w:r>
        <w:rPr>
          <w:rFonts w:hint="eastAsia" w:ascii="仿宋" w:hAnsi="仿宋" w:eastAsia="仿宋" w:cs="仿宋"/>
          <w:color w:val="auto"/>
          <w:sz w:val="32"/>
          <w:szCs w:val="32"/>
          <w:u w:val="none"/>
          <w:lang w:eastAsia="zh-CN"/>
        </w:rPr>
        <w:t>社区</w:t>
      </w:r>
      <w:r>
        <w:rPr>
          <w:rFonts w:hint="eastAsia" w:ascii="仿宋" w:hAnsi="仿宋" w:eastAsia="仿宋" w:cs="仿宋"/>
          <w:color w:val="auto"/>
          <w:sz w:val="32"/>
          <w:szCs w:val="32"/>
          <w:u w:val="none"/>
        </w:rPr>
        <w:t>）或者供养服务机构或者特困人员近亲属提交特困人员死亡证明、火化证明和用于特困人员丧葬费用的正规发票凭证，报</w:t>
      </w:r>
      <w:r>
        <w:rPr>
          <w:rFonts w:hint="eastAsia" w:ascii="仿宋" w:hAnsi="仿宋" w:eastAsia="仿宋" w:cs="仿宋"/>
          <w:color w:val="auto"/>
          <w:sz w:val="32"/>
          <w:szCs w:val="32"/>
          <w:u w:val="none"/>
          <w:lang w:eastAsia="zh-CN"/>
        </w:rPr>
        <w:t>乡镇（场）</w:t>
      </w:r>
      <w:r>
        <w:rPr>
          <w:rFonts w:hint="eastAsia" w:ascii="仿宋" w:hAnsi="仿宋" w:eastAsia="仿宋" w:cs="仿宋"/>
          <w:color w:val="auto"/>
          <w:sz w:val="32"/>
          <w:szCs w:val="32"/>
          <w:u w:val="none"/>
        </w:rPr>
        <w:t>审核、县级人民政府民政部门审批后据实报销。</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第四十四条  </w:t>
      </w:r>
      <w:r>
        <w:rPr>
          <w:rFonts w:hint="eastAsia" w:ascii="仿宋" w:hAnsi="仿宋" w:eastAsia="仿宋" w:cs="仿宋"/>
          <w:color w:val="auto"/>
          <w:sz w:val="32"/>
          <w:szCs w:val="32"/>
          <w:u w:val="none"/>
          <w:lang w:eastAsia="zh-CN"/>
        </w:rPr>
        <w:t>县</w:t>
      </w:r>
      <w:r>
        <w:rPr>
          <w:rFonts w:hint="eastAsia" w:ascii="仿宋" w:hAnsi="仿宋" w:eastAsia="仿宋" w:cs="仿宋"/>
          <w:color w:val="auto"/>
          <w:sz w:val="32"/>
          <w:szCs w:val="32"/>
          <w:u w:val="none"/>
        </w:rPr>
        <w:t>民政部门</w:t>
      </w:r>
      <w:r>
        <w:rPr>
          <w:rFonts w:hint="eastAsia" w:ascii="仿宋" w:hAnsi="仿宋" w:eastAsia="仿宋" w:cs="仿宋"/>
          <w:color w:val="auto"/>
          <w:sz w:val="32"/>
          <w:szCs w:val="32"/>
          <w:u w:val="none"/>
          <w:lang w:eastAsia="zh-CN"/>
        </w:rPr>
        <w:t>及乡镇（场）社会事务办</w:t>
      </w:r>
      <w:r>
        <w:rPr>
          <w:rFonts w:hint="eastAsia" w:ascii="仿宋" w:hAnsi="仿宋" w:eastAsia="仿宋" w:cs="仿宋"/>
          <w:color w:val="auto"/>
          <w:sz w:val="32"/>
          <w:szCs w:val="32"/>
          <w:u w:val="none"/>
        </w:rPr>
        <w:t>应当加强对特困人员认定工作的监督检查，建立和完善相关的监督检查制度，定期开展专项检查。鼓励通过政府购买服务聘请第三方机构参与评估、检查特困人员认定工作。</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第四十五条  县级以上人民政府民政部门要依托12345政府服务便民热线或设立救助服务热线，受理业务咨询、求助、投诉举报和意见建议，并按要求办结、落实和反馈，接受社会和群众对特困人员认定工作的监督。</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第四十六条  </w:t>
      </w:r>
      <w:r>
        <w:rPr>
          <w:rFonts w:hint="eastAsia" w:ascii="仿宋" w:hAnsi="仿宋" w:eastAsia="仿宋" w:cs="仿宋"/>
          <w:color w:val="auto"/>
          <w:sz w:val="32"/>
          <w:szCs w:val="32"/>
          <w:u w:val="none"/>
          <w:lang w:eastAsia="zh-CN"/>
        </w:rPr>
        <w:t>县</w:t>
      </w:r>
      <w:r>
        <w:rPr>
          <w:rFonts w:hint="eastAsia" w:ascii="仿宋" w:hAnsi="仿宋" w:eastAsia="仿宋" w:cs="仿宋"/>
          <w:color w:val="auto"/>
          <w:sz w:val="32"/>
          <w:szCs w:val="32"/>
          <w:u w:val="none"/>
        </w:rPr>
        <w:t>人民政府民政部门应当加强对社会救助工作人员的教育培训，不断提高工作人员队伍素质和业务水平。从事特困人员救助供养工作的人员应当认真履行工作职责，不利用职权谋取私利。一经发现存在滥用职权、玩忽职守、徇私舞弊、失职渎职等行为的，应当依法依规追究相关责任。对秉持公心、履职尽责但因客观原因出现失误偏差且能够及时纠正的，依法依规免于问责。</w:t>
      </w:r>
    </w:p>
    <w:p>
      <w:pPr>
        <w:keepNext w:val="0"/>
        <w:keepLines w:val="0"/>
        <w:pageBreakBefore w:val="0"/>
        <w:numPr>
          <w:ilvl w:val="0"/>
          <w:numId w:val="2"/>
        </w:numPr>
        <w:kinsoku/>
        <w:overflowPunct/>
        <w:topLinePunct w:val="0"/>
        <w:autoSpaceDE/>
        <w:bidi w:val="0"/>
        <w:adjustRightInd/>
        <w:snapToGrid/>
        <w:spacing w:line="550" w:lineRule="exact"/>
        <w:jc w:val="center"/>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 附则</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第四十七条  依法依规按程序将审核确认权限下放至</w:t>
      </w:r>
      <w:r>
        <w:rPr>
          <w:rFonts w:hint="eastAsia" w:ascii="仿宋" w:hAnsi="仿宋" w:eastAsia="仿宋" w:cs="仿宋"/>
          <w:color w:val="auto"/>
          <w:sz w:val="32"/>
          <w:szCs w:val="32"/>
          <w:u w:val="none"/>
          <w:lang w:eastAsia="zh-CN"/>
        </w:rPr>
        <w:t>乡镇（场）的</w:t>
      </w:r>
      <w:r>
        <w:rPr>
          <w:rFonts w:hint="eastAsia" w:ascii="仿宋" w:hAnsi="仿宋" w:eastAsia="仿宋" w:cs="仿宋"/>
          <w:color w:val="auto"/>
          <w:sz w:val="32"/>
          <w:szCs w:val="32"/>
          <w:u w:val="none"/>
        </w:rPr>
        <w:t>，县级人民政府民政部门加强监督指导。</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 xml:space="preserve">第四十八条  </w:t>
      </w:r>
      <w:r>
        <w:rPr>
          <w:rFonts w:hint="eastAsia" w:ascii="仿宋" w:hAnsi="仿宋" w:eastAsia="仿宋" w:cs="仿宋"/>
          <w:color w:val="auto"/>
          <w:sz w:val="32"/>
          <w:szCs w:val="32"/>
          <w:u w:val="none"/>
          <w:lang w:eastAsia="zh-CN"/>
        </w:rPr>
        <w:t>各乡镇（场）社会事务办</w:t>
      </w:r>
      <w:r>
        <w:rPr>
          <w:rFonts w:hint="eastAsia" w:ascii="仿宋" w:hAnsi="仿宋" w:eastAsia="仿宋" w:cs="仿宋"/>
          <w:color w:val="auto"/>
          <w:sz w:val="32"/>
          <w:szCs w:val="32"/>
          <w:u w:val="none"/>
        </w:rPr>
        <w:t>可以根据本办法，结合本地实际，制定实施细则，并报</w:t>
      </w:r>
      <w:r>
        <w:rPr>
          <w:rFonts w:hint="eastAsia" w:ascii="仿宋" w:hAnsi="仿宋" w:eastAsia="仿宋" w:cs="仿宋"/>
          <w:color w:val="auto"/>
          <w:sz w:val="32"/>
          <w:szCs w:val="32"/>
          <w:u w:val="none"/>
          <w:lang w:eastAsia="zh-CN"/>
        </w:rPr>
        <w:t>县</w:t>
      </w:r>
      <w:r>
        <w:rPr>
          <w:rFonts w:hint="eastAsia" w:ascii="仿宋" w:hAnsi="仿宋" w:eastAsia="仿宋" w:cs="仿宋"/>
          <w:color w:val="auto"/>
          <w:sz w:val="32"/>
          <w:szCs w:val="32"/>
          <w:u w:val="none"/>
        </w:rPr>
        <w:t>级民政部门备案。</w:t>
      </w:r>
    </w:p>
    <w:p>
      <w:pPr>
        <w:keepNext w:val="0"/>
        <w:keepLines w:val="0"/>
        <w:pageBreakBefore w:val="0"/>
        <w:kinsoku/>
        <w:overflowPunct/>
        <w:topLinePunct w:val="0"/>
        <w:autoSpaceDE/>
        <w:bidi w:val="0"/>
        <w:adjustRightInd/>
        <w:snapToGrid/>
        <w:spacing w:line="550" w:lineRule="exact"/>
        <w:ind w:firstLine="64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第四十九条  本办法自2022年</w:t>
      </w: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月1日起施行。</w:t>
      </w:r>
    </w:p>
    <w:p>
      <w:pPr>
        <w:keepNext w:val="0"/>
        <w:keepLines w:val="0"/>
        <w:pageBreakBefore w:val="0"/>
        <w:kinsoku/>
        <w:overflowPunct/>
        <w:topLinePunct w:val="0"/>
        <w:autoSpaceDE/>
        <w:bidi w:val="0"/>
        <w:adjustRightInd/>
        <w:snapToGrid/>
        <w:spacing w:line="550" w:lineRule="exact"/>
        <w:textAlignment w:val="auto"/>
        <w:rPr>
          <w:rFonts w:hint="eastAsia" w:ascii="仿宋" w:hAnsi="仿宋" w:eastAsia="仿宋" w:cs="仿宋"/>
          <w:color w:val="auto"/>
          <w:sz w:val="32"/>
          <w:szCs w:val="32"/>
          <w:u w:val="none"/>
        </w:rPr>
      </w:pPr>
    </w:p>
    <w:p>
      <w:pPr>
        <w:keepNext w:val="0"/>
        <w:keepLines w:val="0"/>
        <w:pageBreakBefore w:val="0"/>
        <w:kinsoku/>
        <w:overflowPunct/>
        <w:topLinePunct w:val="0"/>
        <w:autoSpaceDE/>
        <w:bidi w:val="0"/>
        <w:adjustRightInd/>
        <w:snapToGrid/>
        <w:spacing w:line="550" w:lineRule="exac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附表：1、特困供养申请及授权书样表</w:t>
      </w:r>
    </w:p>
    <w:p>
      <w:pPr>
        <w:keepNext w:val="0"/>
        <w:keepLines w:val="0"/>
        <w:pageBreakBefore w:val="0"/>
        <w:kinsoku/>
        <w:overflowPunct/>
        <w:topLinePunct w:val="0"/>
        <w:autoSpaceDE/>
        <w:bidi w:val="0"/>
        <w:adjustRightInd/>
        <w:snapToGrid/>
        <w:spacing w:line="550" w:lineRule="exact"/>
        <w:ind w:firstLine="960" w:firstLineChars="300"/>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2、申请家庭经济状况信息表样表</w:t>
      </w:r>
    </w:p>
    <w:p>
      <w:pPr>
        <w:keepNext w:val="0"/>
        <w:keepLines w:val="0"/>
        <w:pageBreakBefore w:val="0"/>
        <w:kinsoku/>
        <w:overflowPunct/>
        <w:topLinePunct w:val="0"/>
        <w:autoSpaceDE/>
        <w:bidi w:val="0"/>
        <w:adjustRightInd/>
        <w:snapToGrid/>
        <w:spacing w:line="550" w:lineRule="exact"/>
        <w:ind w:firstLine="960" w:firstLineChars="300"/>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3、受理意见书</w:t>
      </w:r>
    </w:p>
    <w:p>
      <w:pPr>
        <w:keepNext w:val="0"/>
        <w:keepLines w:val="0"/>
        <w:pageBreakBefore w:val="0"/>
        <w:kinsoku/>
        <w:overflowPunct/>
        <w:topLinePunct w:val="0"/>
        <w:autoSpaceDE/>
        <w:bidi w:val="0"/>
        <w:adjustRightInd/>
        <w:snapToGrid/>
        <w:spacing w:line="550" w:lineRule="exact"/>
        <w:ind w:firstLine="960" w:firstLineChars="300"/>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4、入户调查表样表</w:t>
      </w:r>
    </w:p>
    <w:p>
      <w:pPr>
        <w:keepNext w:val="0"/>
        <w:keepLines w:val="0"/>
        <w:pageBreakBefore w:val="0"/>
        <w:kinsoku/>
        <w:overflowPunct/>
        <w:topLinePunct w:val="0"/>
        <w:autoSpaceDE/>
        <w:bidi w:val="0"/>
        <w:adjustRightInd/>
        <w:snapToGrid/>
        <w:spacing w:line="550" w:lineRule="exact"/>
        <w:ind w:firstLine="960" w:firstLineChars="300"/>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5、申请特困供养收入核算评估表</w:t>
      </w:r>
    </w:p>
    <w:p>
      <w:pPr>
        <w:keepNext w:val="0"/>
        <w:keepLines w:val="0"/>
        <w:pageBreakBefore w:val="0"/>
        <w:kinsoku/>
        <w:overflowPunct/>
        <w:topLinePunct w:val="0"/>
        <w:autoSpaceDE/>
        <w:bidi w:val="0"/>
        <w:adjustRightInd/>
        <w:snapToGrid/>
        <w:spacing w:line="550" w:lineRule="exact"/>
        <w:ind w:firstLine="960" w:firstLineChars="300"/>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6、新增特困供养对象审核公示单样表</w:t>
      </w:r>
    </w:p>
    <w:p>
      <w:pPr>
        <w:keepNext w:val="0"/>
        <w:keepLines w:val="0"/>
        <w:pageBreakBefore w:val="0"/>
        <w:kinsoku/>
        <w:overflowPunct/>
        <w:topLinePunct w:val="0"/>
        <w:autoSpaceDE/>
        <w:bidi w:val="0"/>
        <w:adjustRightInd/>
        <w:snapToGrid/>
        <w:spacing w:line="550" w:lineRule="exact"/>
        <w:ind w:firstLine="960" w:firstLineChars="300"/>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7、审批公示单样表</w:t>
      </w:r>
    </w:p>
    <w:p>
      <w:pPr>
        <w:keepNext w:val="0"/>
        <w:keepLines w:val="0"/>
        <w:pageBreakBefore w:val="0"/>
        <w:kinsoku/>
        <w:overflowPunct/>
        <w:topLinePunct w:val="0"/>
        <w:autoSpaceDE/>
        <w:bidi w:val="0"/>
        <w:adjustRightInd/>
        <w:snapToGrid/>
        <w:spacing w:line="550" w:lineRule="exact"/>
        <w:ind w:firstLine="960" w:firstLineChars="300"/>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8、特困供养审核审批表样表</w:t>
      </w:r>
    </w:p>
    <w:p>
      <w:pPr>
        <w:keepNext w:val="0"/>
        <w:keepLines w:val="0"/>
        <w:pageBreakBefore w:val="0"/>
        <w:kinsoku/>
        <w:overflowPunct/>
        <w:topLinePunct w:val="0"/>
        <w:autoSpaceDE/>
        <w:bidi w:val="0"/>
        <w:adjustRightInd/>
        <w:snapToGrid/>
        <w:spacing w:line="550" w:lineRule="exact"/>
        <w:ind w:firstLine="960" w:firstLineChars="300"/>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9、申请特困供养不予批准告知书样表</w:t>
      </w:r>
    </w:p>
    <w:p>
      <w:pPr>
        <w:keepNext w:val="0"/>
        <w:keepLines w:val="0"/>
        <w:pageBreakBefore w:val="0"/>
        <w:kinsoku/>
        <w:overflowPunct/>
        <w:topLinePunct w:val="0"/>
        <w:autoSpaceDE/>
        <w:bidi w:val="0"/>
        <w:adjustRightInd/>
        <w:snapToGrid/>
        <w:spacing w:line="550" w:lineRule="exact"/>
        <w:ind w:firstLine="960" w:firstLineChars="300"/>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10、特困供养对象动态管理记录样表</w:t>
      </w:r>
    </w:p>
    <w:p>
      <w:pPr>
        <w:keepNext w:val="0"/>
        <w:keepLines w:val="0"/>
        <w:pageBreakBefore w:val="0"/>
        <w:kinsoku/>
        <w:overflowPunct/>
        <w:topLinePunct w:val="0"/>
        <w:autoSpaceDE/>
        <w:bidi w:val="0"/>
        <w:adjustRightInd/>
        <w:snapToGrid/>
        <w:spacing w:line="550" w:lineRule="exact"/>
        <w:ind w:firstLine="960" w:firstLineChars="300"/>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11、拟终止特困供养对象公示单样表</w:t>
      </w:r>
    </w:p>
    <w:p>
      <w:pPr>
        <w:keepNext w:val="0"/>
        <w:keepLines w:val="0"/>
        <w:pageBreakBefore w:val="0"/>
        <w:kinsoku/>
        <w:overflowPunct/>
        <w:topLinePunct w:val="0"/>
        <w:autoSpaceDE/>
        <w:bidi w:val="0"/>
        <w:adjustRightInd/>
        <w:snapToGrid/>
        <w:spacing w:line="550" w:lineRule="exact"/>
        <w:ind w:firstLine="960" w:firstLineChars="300"/>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12、特困供养金停发告知书样表</w:t>
      </w:r>
    </w:p>
    <w:p>
      <w:pPr>
        <w:keepNext w:val="0"/>
        <w:keepLines w:val="0"/>
        <w:pageBreakBefore w:val="0"/>
        <w:kinsoku/>
        <w:overflowPunct/>
        <w:topLinePunct w:val="0"/>
        <w:autoSpaceDE/>
        <w:bidi w:val="0"/>
        <w:adjustRightInd/>
        <w:snapToGrid/>
        <w:spacing w:line="550" w:lineRule="exact"/>
        <w:ind w:firstLine="960" w:firstLineChars="300"/>
        <w:textAlignment w:val="auto"/>
        <w:rPr>
          <w:rFonts w:hint="eastAsia" w:ascii="仿宋" w:hAnsi="仿宋" w:eastAsia="仿宋" w:cs="仿宋"/>
          <w:color w:val="auto"/>
          <w:sz w:val="32"/>
          <w:szCs w:val="32"/>
          <w:u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48123909"/>
      <w:docPartObj>
        <w:docPartGallery w:val="autotext"/>
      </w:docPartObj>
    </w:sdtPr>
    <w:sdtContent>
      <w:p>
        <w:pPr>
          <w:pStyle w:val="2"/>
          <w:jc w:val="center"/>
        </w:pPr>
        <w:r>
          <w:fldChar w:fldCharType="begin"/>
        </w:r>
        <w:r>
          <w:instrText xml:space="preserve">PAGE   \* MERGEFORMAT</w:instrText>
        </w:r>
        <w:r>
          <w:fldChar w:fldCharType="separate"/>
        </w:r>
        <w:r>
          <w:rPr>
            <w:lang w:val="zh-CN"/>
          </w:rPr>
          <w:t>2</w:t>
        </w:r>
        <w: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DA0F4D"/>
    <w:multiLevelType w:val="singleLevel"/>
    <w:tmpl w:val="A5DA0F4D"/>
    <w:lvl w:ilvl="0" w:tentative="0">
      <w:start w:val="1"/>
      <w:numFmt w:val="chineseCounting"/>
      <w:suff w:val="nothing"/>
      <w:lvlText w:val="（%1）"/>
      <w:lvlJc w:val="left"/>
      <w:rPr>
        <w:rFonts w:hint="eastAsia"/>
      </w:rPr>
    </w:lvl>
  </w:abstractNum>
  <w:abstractNum w:abstractNumId="1">
    <w:nsid w:val="EA792DF7"/>
    <w:multiLevelType w:val="singleLevel"/>
    <w:tmpl w:val="EA792DF7"/>
    <w:lvl w:ilvl="0" w:tentative="0">
      <w:start w:val="1"/>
      <w:numFmt w:val="chineseCounting"/>
      <w:suff w:val="space"/>
      <w:lvlText w:val="第%1章"/>
      <w:lvlJc w:val="left"/>
      <w:rPr>
        <w:rFonts w:hint="eastAsia"/>
      </w:rPr>
    </w:lvl>
  </w:abstractNum>
  <w:abstractNum w:abstractNumId="2">
    <w:nsid w:val="F114EEB1"/>
    <w:multiLevelType w:val="singleLevel"/>
    <w:tmpl w:val="F114EEB1"/>
    <w:lvl w:ilvl="0" w:tentative="0">
      <w:start w:val="1"/>
      <w:numFmt w:val="chineseCounting"/>
      <w:suff w:val="nothing"/>
      <w:lvlText w:val="（%1）"/>
      <w:lvlJc w:val="left"/>
      <w:rPr>
        <w:rFonts w:hint="eastAsia"/>
      </w:rPr>
    </w:lvl>
  </w:abstractNum>
  <w:abstractNum w:abstractNumId="3">
    <w:nsid w:val="67C46B3B"/>
    <w:multiLevelType w:val="singleLevel"/>
    <w:tmpl w:val="67C46B3B"/>
    <w:lvl w:ilvl="0" w:tentative="0">
      <w:start w:val="5"/>
      <w:numFmt w:val="chineseCounting"/>
      <w:suff w:val="space"/>
      <w:lvlText w:val="第%1章"/>
      <w:lvlJc w:val="left"/>
      <w:rPr>
        <w:rFonts w:hint="eastAsi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3YjIyMTcyNWExYzRjYTI0NjI2N2FhZDM2YzIzNWEifQ=="/>
  </w:docVars>
  <w:rsids>
    <w:rsidRoot w:val="00D16AA9"/>
    <w:rsid w:val="0001731E"/>
    <w:rsid w:val="00020DDE"/>
    <w:rsid w:val="00033409"/>
    <w:rsid w:val="00047719"/>
    <w:rsid w:val="0008121D"/>
    <w:rsid w:val="0008751F"/>
    <w:rsid w:val="000D4551"/>
    <w:rsid w:val="001B4CE4"/>
    <w:rsid w:val="00220558"/>
    <w:rsid w:val="00220916"/>
    <w:rsid w:val="002633EB"/>
    <w:rsid w:val="0027083A"/>
    <w:rsid w:val="002C7CBE"/>
    <w:rsid w:val="002F5362"/>
    <w:rsid w:val="002F7445"/>
    <w:rsid w:val="00377076"/>
    <w:rsid w:val="004065DB"/>
    <w:rsid w:val="00422737"/>
    <w:rsid w:val="00451531"/>
    <w:rsid w:val="004E0330"/>
    <w:rsid w:val="00552A32"/>
    <w:rsid w:val="005A4FF0"/>
    <w:rsid w:val="00685EE0"/>
    <w:rsid w:val="006A0A93"/>
    <w:rsid w:val="006C1B0F"/>
    <w:rsid w:val="006C74C8"/>
    <w:rsid w:val="007127E0"/>
    <w:rsid w:val="00722896"/>
    <w:rsid w:val="00756007"/>
    <w:rsid w:val="00797E4D"/>
    <w:rsid w:val="007B6EDD"/>
    <w:rsid w:val="007D3744"/>
    <w:rsid w:val="008014CA"/>
    <w:rsid w:val="00853312"/>
    <w:rsid w:val="00861067"/>
    <w:rsid w:val="00864A66"/>
    <w:rsid w:val="0091655F"/>
    <w:rsid w:val="00986E09"/>
    <w:rsid w:val="009C116A"/>
    <w:rsid w:val="009D0735"/>
    <w:rsid w:val="00A658D7"/>
    <w:rsid w:val="00AB4964"/>
    <w:rsid w:val="00AF4ABA"/>
    <w:rsid w:val="00B17BAD"/>
    <w:rsid w:val="00B645C9"/>
    <w:rsid w:val="00B80200"/>
    <w:rsid w:val="00B91049"/>
    <w:rsid w:val="00BC1073"/>
    <w:rsid w:val="00BE2BCC"/>
    <w:rsid w:val="00BE7F4E"/>
    <w:rsid w:val="00C76D87"/>
    <w:rsid w:val="00C77976"/>
    <w:rsid w:val="00C85ABF"/>
    <w:rsid w:val="00C87403"/>
    <w:rsid w:val="00CF5BFD"/>
    <w:rsid w:val="00D16AA9"/>
    <w:rsid w:val="00D264D4"/>
    <w:rsid w:val="00DC29DF"/>
    <w:rsid w:val="00DE00CF"/>
    <w:rsid w:val="00DE7D1D"/>
    <w:rsid w:val="00E257DB"/>
    <w:rsid w:val="00F5400B"/>
    <w:rsid w:val="00F75581"/>
    <w:rsid w:val="00FD21AA"/>
    <w:rsid w:val="03F4527E"/>
    <w:rsid w:val="04F93327"/>
    <w:rsid w:val="057B460B"/>
    <w:rsid w:val="07702E6D"/>
    <w:rsid w:val="0A696A9A"/>
    <w:rsid w:val="0AB55BF3"/>
    <w:rsid w:val="0B1C6C79"/>
    <w:rsid w:val="0D3D37F2"/>
    <w:rsid w:val="0F6C4862"/>
    <w:rsid w:val="116C6D9B"/>
    <w:rsid w:val="13CD3B8F"/>
    <w:rsid w:val="15475B55"/>
    <w:rsid w:val="158F578B"/>
    <w:rsid w:val="16D57191"/>
    <w:rsid w:val="1ADA66E9"/>
    <w:rsid w:val="1C9563AA"/>
    <w:rsid w:val="22E21888"/>
    <w:rsid w:val="252E0198"/>
    <w:rsid w:val="25315EDA"/>
    <w:rsid w:val="27711884"/>
    <w:rsid w:val="280C6AB8"/>
    <w:rsid w:val="28722A91"/>
    <w:rsid w:val="29620FA4"/>
    <w:rsid w:val="29B62E6F"/>
    <w:rsid w:val="29CE1F49"/>
    <w:rsid w:val="2A662182"/>
    <w:rsid w:val="2CDF498D"/>
    <w:rsid w:val="30B55C11"/>
    <w:rsid w:val="310149B3"/>
    <w:rsid w:val="35747E49"/>
    <w:rsid w:val="36DA0180"/>
    <w:rsid w:val="38714956"/>
    <w:rsid w:val="388C3252"/>
    <w:rsid w:val="38B467AE"/>
    <w:rsid w:val="38DB01DF"/>
    <w:rsid w:val="3A267238"/>
    <w:rsid w:val="3A701C58"/>
    <w:rsid w:val="3B535401"/>
    <w:rsid w:val="3B892DFF"/>
    <w:rsid w:val="3BA26D92"/>
    <w:rsid w:val="41506E0F"/>
    <w:rsid w:val="43C87CFD"/>
    <w:rsid w:val="448F0C81"/>
    <w:rsid w:val="4E516B22"/>
    <w:rsid w:val="4E9A791C"/>
    <w:rsid w:val="4F2A7373"/>
    <w:rsid w:val="50827C32"/>
    <w:rsid w:val="51347215"/>
    <w:rsid w:val="523F3135"/>
    <w:rsid w:val="5296641D"/>
    <w:rsid w:val="52D03E57"/>
    <w:rsid w:val="5344412A"/>
    <w:rsid w:val="56187F25"/>
    <w:rsid w:val="57C77AC1"/>
    <w:rsid w:val="591B0458"/>
    <w:rsid w:val="5A7D6CF6"/>
    <w:rsid w:val="5BCA1CC1"/>
    <w:rsid w:val="5C752162"/>
    <w:rsid w:val="5ED030EF"/>
    <w:rsid w:val="61954B1F"/>
    <w:rsid w:val="62DF254D"/>
    <w:rsid w:val="631C5969"/>
    <w:rsid w:val="63696264"/>
    <w:rsid w:val="64D63485"/>
    <w:rsid w:val="68071BA7"/>
    <w:rsid w:val="683D3706"/>
    <w:rsid w:val="68D26659"/>
    <w:rsid w:val="6F5F0F08"/>
    <w:rsid w:val="6FA83C70"/>
    <w:rsid w:val="6FE37C1D"/>
    <w:rsid w:val="705F7A5A"/>
    <w:rsid w:val="70BB5063"/>
    <w:rsid w:val="71E52F50"/>
    <w:rsid w:val="76860521"/>
    <w:rsid w:val="7A1C1A00"/>
    <w:rsid w:val="7A1E16FE"/>
    <w:rsid w:val="7AA8369E"/>
    <w:rsid w:val="7AB67B89"/>
    <w:rsid w:val="7BB03802"/>
    <w:rsid w:val="7E9C1F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6">
    <w:name w:val="List Paragraph"/>
    <w:basedOn w:val="1"/>
    <w:uiPriority w:val="99"/>
    <w:pPr>
      <w:ind w:firstLine="420" w:firstLineChars="200"/>
    </w:pPr>
  </w:style>
  <w:style w:type="character" w:customStyle="1" w:styleId="7">
    <w:name w:val="页眉 字符"/>
    <w:basedOn w:val="5"/>
    <w:link w:val="3"/>
    <w:qFormat/>
    <w:uiPriority w:val="0"/>
    <w:rPr>
      <w:rFonts w:asciiTheme="minorHAnsi" w:hAnsiTheme="minorHAnsi" w:eastAsiaTheme="minorEastAsia" w:cstheme="minorBidi"/>
      <w:kern w:val="2"/>
      <w:sz w:val="18"/>
      <w:szCs w:val="18"/>
    </w:rPr>
  </w:style>
  <w:style w:type="character" w:customStyle="1" w:styleId="8">
    <w:name w:val="页脚 字符"/>
    <w:basedOn w:val="5"/>
    <w:link w:val="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7348</Words>
  <Characters>7401</Characters>
  <Lines>56</Lines>
  <Paragraphs>15</Paragraphs>
  <TotalTime>65</TotalTime>
  <ScaleCrop>false</ScaleCrop>
  <LinksUpToDate>false</LinksUpToDate>
  <CharactersWithSpaces>7545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2022-01-18T06:54:00Z</dcterms:created>
  <dc:creator>Administrator</dc:creator>
  <cp:lastModifiedBy>Administrator</cp:lastModifiedBy>
  <cp:lastPrinted>2022-11-29T02:52:59Z</cp:lastPrinted>
  <dcterms:modified xsi:type="dcterms:W3CDTF">2022-11-29T02:54:05Z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9301228159AB4E17BD851F717864D7D7</vt:lpwstr>
  </property>
</Properties>
</file>