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sz w:val="100"/>
          <w:szCs w:val="100"/>
        </w:rPr>
      </w:pPr>
      <w:bookmarkStart w:id="0" w:name="OLE_LINK1"/>
      <w:r>
        <w:rPr>
          <w:rFonts w:ascii="华文中宋" w:hAnsi="华文中宋" w:eastAsia="华文中宋"/>
          <w:b/>
          <w:sz w:val="100"/>
          <w:szCs w:val="100"/>
        </w:rPr>
        <w:pict>
          <v:shape id="_x0000_i1025" o:spt="136" type="#_x0000_t136" style="height:63.75pt;width:391.5pt;" fillcolor="#FF0000" filled="t" stroked="t" coordsize="21600,21600">
            <v:path/>
            <v:fill on="t" focussize="0,0"/>
            <v:stroke weight="4pt" color="#FF0000"/>
            <v:imagedata o:title=""/>
            <o:lock v:ext="edit" text="f"/>
            <v:textpath on="t" fitshape="t" fitpath="t" trim="t" xscale="f" string="环境监测月报" style="font-family:幼圆;font-size:36pt;v-text-align:center;"/>
            <w10:wrap type="none"/>
            <w10:anchorlock/>
          </v:shape>
        </w:pict>
      </w:r>
      <w:bookmarkEnd w:id="0"/>
    </w:p>
    <w:p>
      <w:pPr>
        <w:spacing w:before="592" w:beforeLines="190" w:line="400" w:lineRule="exact"/>
        <w:jc w:val="center"/>
        <w:rPr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第</w:t>
      </w:r>
      <w:r>
        <w:rPr>
          <w:rFonts w:hint="eastAsia"/>
          <w:b/>
          <w:sz w:val="48"/>
          <w:szCs w:val="48"/>
          <w:lang w:val="en-US" w:eastAsia="zh-CN"/>
        </w:rPr>
        <w:t>十一</w:t>
      </w:r>
      <w:r>
        <w:rPr>
          <w:rFonts w:hint="eastAsia"/>
          <w:b/>
          <w:sz w:val="48"/>
          <w:szCs w:val="48"/>
        </w:rPr>
        <w:t>期（总第</w:t>
      </w:r>
      <w:r>
        <w:rPr>
          <w:rFonts w:hint="eastAsia"/>
          <w:b/>
          <w:sz w:val="48"/>
          <w:szCs w:val="48"/>
          <w:lang w:val="en-US" w:eastAsia="zh-CN"/>
        </w:rPr>
        <w:t>347</w:t>
      </w:r>
      <w:r>
        <w:rPr>
          <w:rFonts w:hint="eastAsia"/>
          <w:b/>
          <w:sz w:val="48"/>
          <w:szCs w:val="48"/>
        </w:rPr>
        <w:t>）</w:t>
      </w:r>
    </w:p>
    <w:p>
      <w:pPr>
        <w:spacing w:before="592" w:beforeLines="190" w:line="4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邵阳市城步生态环境监测站</w:t>
      </w:r>
      <w:r>
        <w:rPr>
          <w:rFonts w:hint="eastAsia"/>
          <w:b/>
          <w:sz w:val="32"/>
          <w:szCs w:val="32"/>
        </w:rPr>
        <w:t xml:space="preserve">               20</w:t>
      </w:r>
      <w:r>
        <w:rPr>
          <w:rFonts w:hint="eastAsia"/>
          <w:b/>
          <w:sz w:val="32"/>
          <w:szCs w:val="32"/>
          <w:lang w:val="en-US" w:eastAsia="zh-CN"/>
        </w:rPr>
        <w:t>22</w:t>
      </w:r>
      <w:r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  <w:lang w:val="en-US" w:eastAsia="zh-CN"/>
        </w:rPr>
        <w:t>11</w:t>
      </w:r>
      <w:r>
        <w:rPr>
          <w:rFonts w:hint="eastAsia"/>
          <w:b/>
          <w:sz w:val="32"/>
          <w:szCs w:val="32"/>
        </w:rPr>
        <w:t>月</w:t>
      </w:r>
    </w:p>
    <w:p>
      <w:pPr>
        <w:spacing w:before="592" w:beforeLines="190" w:line="400" w:lineRule="exact"/>
        <w:jc w:val="center"/>
        <w:rPr>
          <w:b/>
          <w:sz w:val="32"/>
          <w:szCs w:val="32"/>
        </w:rPr>
      </w:pPr>
      <w:bookmarkStart w:id="1" w:name="OLE_LINK2"/>
    </w:p>
    <w:bookmarkEnd w:id="1"/>
    <w:p>
      <w:pPr>
        <w:spacing w:before="156" w:beforeLines="50" w:line="560" w:lineRule="exact"/>
        <w:rPr>
          <w:rFonts w:ascii="仿宋_GB2312" w:hAnsi="华文楷体" w:eastAsia="仿宋_GB2312"/>
          <w:b/>
          <w:sz w:val="30"/>
          <w:szCs w:val="30"/>
        </w:rPr>
      </w:pPr>
      <w:r>
        <w:rPr>
          <w:rFonts w:hint="eastAsia" w:ascii="仿宋_GB2312" w:hAnsi="华文楷体" w:eastAsia="仿宋_GB2312"/>
          <w:b/>
          <w:sz w:val="30"/>
          <w:szCs w:val="30"/>
        </w:rPr>
        <w:t>　　一、城市环境空气质量</w:t>
      </w:r>
    </w:p>
    <w:p>
      <w:pPr>
        <w:spacing w:before="156" w:beforeLines="50" w:line="560" w:lineRule="exact"/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仿宋_GB2312" w:hAnsi="华文楷体" w:eastAsia="仿宋_GB2312"/>
          <w:sz w:val="28"/>
          <w:szCs w:val="28"/>
        </w:rPr>
        <w:t xml:space="preserve">    我</w:t>
      </w:r>
      <w:bookmarkStart w:id="2" w:name="OLE_LINK23"/>
      <w:r>
        <w:rPr>
          <w:rFonts w:hint="eastAsia" w:ascii="仿宋_GB2312" w:hAnsi="华文楷体" w:eastAsia="仿宋_GB2312"/>
          <w:sz w:val="28"/>
          <w:szCs w:val="28"/>
        </w:rPr>
        <w:t>县在财政局办公楼顶设环境空气质量自动监测点，</w:t>
      </w:r>
      <w:bookmarkStart w:id="3" w:name="OLE_LINK3"/>
      <w:r>
        <w:rPr>
          <w:rFonts w:hint="eastAsia" w:ascii="仿宋_GB2312" w:hAnsi="华文楷体" w:eastAsia="仿宋_GB2312"/>
          <w:sz w:val="28"/>
          <w:szCs w:val="28"/>
        </w:rPr>
        <w:t>为空气质量日报点。按照《环境空气质量标准》（GB3095-2012）监测六个基本项目：二氧化硫、二氧化氮、可吸入颗粒物（</w:t>
      </w:r>
      <w:bookmarkEnd w:id="2"/>
      <w:r>
        <w:rPr>
          <w:rFonts w:hint="eastAsia" w:ascii="仿宋_GB2312" w:hAnsi="华文楷体" w:eastAsia="仿宋_GB2312"/>
          <w:sz w:val="28"/>
          <w:szCs w:val="28"/>
        </w:rPr>
        <w:t>PM</w:t>
      </w:r>
      <w:r>
        <w:rPr>
          <w:rFonts w:hint="eastAsia" w:ascii="仿宋_GB2312" w:hAnsi="华文楷体" w:eastAsia="仿宋_GB2312"/>
          <w:sz w:val="28"/>
          <w:szCs w:val="28"/>
          <w:vertAlign w:val="subscript"/>
        </w:rPr>
        <w:t>10</w:t>
      </w:r>
      <w:r>
        <w:rPr>
          <w:rFonts w:hint="eastAsia" w:ascii="仿宋_GB2312" w:hAnsi="华文楷体" w:eastAsia="仿宋_GB2312"/>
          <w:sz w:val="28"/>
          <w:szCs w:val="28"/>
        </w:rPr>
        <w:t>）、细颗粒物（PM</w:t>
      </w:r>
      <w:r>
        <w:rPr>
          <w:rFonts w:hint="eastAsia" w:ascii="仿宋_GB2312" w:hAnsi="华文楷体" w:eastAsia="仿宋_GB2312"/>
          <w:sz w:val="28"/>
          <w:szCs w:val="28"/>
          <w:vertAlign w:val="subscript"/>
        </w:rPr>
        <w:t>2.5</w:t>
      </w:r>
      <w:r>
        <w:rPr>
          <w:rFonts w:hint="eastAsia" w:ascii="仿宋_GB2312" w:hAnsi="华文楷体" w:eastAsia="仿宋_GB2312"/>
          <w:sz w:val="28"/>
          <w:szCs w:val="28"/>
        </w:rPr>
        <w:t>）、一氧化碳、臭氧。</w:t>
      </w:r>
    </w:p>
    <w:p>
      <w:pPr>
        <w:spacing w:before="156" w:beforeLines="50" w:line="560" w:lineRule="exact"/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仿宋_GB2312" w:hAnsi="华文楷体" w:eastAsia="仿宋_GB2312"/>
          <w:sz w:val="28"/>
          <w:szCs w:val="28"/>
        </w:rPr>
        <w:t>　　</w:t>
      </w:r>
      <w:r>
        <w:rPr>
          <w:rFonts w:hint="eastAsia" w:ascii="仿宋_GB2312" w:hAnsi="华文楷体" w:eastAsia="仿宋_GB2312"/>
          <w:b/>
          <w:bCs/>
          <w:sz w:val="28"/>
          <w:szCs w:val="28"/>
        </w:rPr>
        <w:t>1、各监测项目与去年同期比较</w:t>
      </w:r>
    </w:p>
    <w:p>
      <w:pPr>
        <w:spacing w:before="156" w:beforeLines="50" w:line="560" w:lineRule="exact"/>
        <w:ind w:firstLine="420" w:firstLineChars="150"/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仿宋_GB2312" w:hAnsi="华文楷体" w:eastAsia="仿宋_GB2312"/>
          <w:sz w:val="28"/>
          <w:szCs w:val="28"/>
        </w:rPr>
        <w:t>（1）二氧化硫</w:t>
      </w:r>
      <w:r>
        <w:rPr>
          <w:rFonts w:hint="eastAsia" w:ascii="??_GB2312" w:hAnsi="华文楷体"/>
          <w:sz w:val="28"/>
          <w:szCs w:val="28"/>
        </w:rPr>
        <w:t>（</w:t>
      </w:r>
      <w:r>
        <w:rPr>
          <w:rFonts w:hint="eastAsia" w:ascii="仿宋_GB2312" w:hAnsi="华文楷体" w:eastAsia="仿宋_GB2312"/>
          <w:sz w:val="28"/>
          <w:szCs w:val="28"/>
        </w:rPr>
        <w:t>SO</w:t>
      </w:r>
      <w:r>
        <w:rPr>
          <w:rFonts w:hint="eastAsia" w:ascii="仿宋_GB2312" w:hAnsi="华文楷体" w:eastAsia="仿宋_GB2312"/>
          <w:sz w:val="28"/>
          <w:szCs w:val="28"/>
          <w:vertAlign w:val="subscript"/>
        </w:rPr>
        <w:t>2</w:t>
      </w:r>
      <w:r>
        <w:rPr>
          <w:rFonts w:hint="eastAsia" w:ascii="仿宋_GB2312" w:hAnsi="华文楷体" w:eastAsia="仿宋_GB2312"/>
          <w:sz w:val="28"/>
          <w:szCs w:val="28"/>
        </w:rPr>
        <w:t>)：月平均浓度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10</w:t>
      </w:r>
      <w:r>
        <w:rPr>
          <w:rFonts w:hint="eastAsia" w:ascii="仿宋" w:hAnsi="仿宋" w:eastAsia="仿宋"/>
          <w:sz w:val="28"/>
          <w:szCs w:val="28"/>
        </w:rPr>
        <w:t>μ</w:t>
      </w:r>
      <w:r>
        <w:rPr>
          <w:rFonts w:hint="eastAsia" w:ascii="仿宋_GB2312" w:hAnsi="华文楷体" w:eastAsia="仿宋_GB2312"/>
          <w:sz w:val="28"/>
          <w:szCs w:val="28"/>
        </w:rPr>
        <w:t>g/Nm</w:t>
      </w:r>
      <w:r>
        <w:rPr>
          <w:rFonts w:hint="eastAsia" w:ascii="仿宋_GB2312" w:hAnsi="华文楷体" w:eastAsia="仿宋_GB2312"/>
          <w:sz w:val="28"/>
          <w:szCs w:val="28"/>
          <w:vertAlign w:val="superscript"/>
        </w:rPr>
        <w:t>3</w:t>
      </w:r>
      <w:r>
        <w:rPr>
          <w:rFonts w:hint="eastAsia" w:ascii="仿宋_GB2312" w:hAnsi="华文楷体" w:eastAsia="仿宋_GB2312"/>
          <w:sz w:val="28"/>
          <w:szCs w:val="28"/>
        </w:rPr>
        <w:t>，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比</w:t>
      </w:r>
      <w:r>
        <w:rPr>
          <w:rFonts w:hint="eastAsia" w:ascii="仿宋_GB2312" w:hAnsi="华文楷体" w:eastAsia="仿宋_GB2312"/>
          <w:sz w:val="28"/>
          <w:szCs w:val="28"/>
        </w:rPr>
        <w:t>去年同期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下降23.1%</w:t>
      </w:r>
      <w:r>
        <w:rPr>
          <w:rFonts w:hint="eastAsia" w:ascii="仿宋_GB2312" w:hAnsi="华文楷体" w:eastAsia="仿宋_GB2312"/>
          <w:sz w:val="28"/>
          <w:szCs w:val="28"/>
        </w:rPr>
        <w:t>。</w:t>
      </w:r>
    </w:p>
    <w:p>
      <w:pPr>
        <w:spacing w:before="156" w:beforeLines="50" w:line="560" w:lineRule="exact"/>
        <w:ind w:firstLine="420" w:firstLineChars="150"/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仿宋_GB2312" w:hAnsi="华文楷体" w:eastAsia="仿宋_GB2312"/>
          <w:sz w:val="28"/>
          <w:szCs w:val="28"/>
        </w:rPr>
        <w:t>（2）二氧化氮(NO</w:t>
      </w:r>
      <w:r>
        <w:rPr>
          <w:rFonts w:hint="eastAsia" w:ascii="仿宋_GB2312" w:hAnsi="华文楷体" w:eastAsia="仿宋_GB2312"/>
          <w:sz w:val="28"/>
          <w:szCs w:val="28"/>
          <w:vertAlign w:val="subscript"/>
        </w:rPr>
        <w:t>2</w:t>
      </w:r>
      <w:r>
        <w:rPr>
          <w:rFonts w:hint="eastAsia" w:ascii="仿宋_GB2312" w:hAnsi="华文楷体" w:eastAsia="仿宋_GB2312"/>
          <w:sz w:val="28"/>
          <w:szCs w:val="28"/>
        </w:rPr>
        <w:t>)：月平均浓度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/>
          <w:sz w:val="28"/>
          <w:szCs w:val="28"/>
        </w:rPr>
        <w:t>μ</w:t>
      </w:r>
      <w:r>
        <w:rPr>
          <w:rFonts w:hint="eastAsia" w:ascii="仿宋_GB2312" w:hAnsi="华文楷体" w:eastAsia="仿宋_GB2312"/>
          <w:sz w:val="28"/>
          <w:szCs w:val="28"/>
        </w:rPr>
        <w:t>g/Nm</w:t>
      </w:r>
      <w:r>
        <w:rPr>
          <w:rFonts w:hint="eastAsia" w:ascii="仿宋_GB2312" w:hAnsi="华文楷体" w:eastAsia="仿宋_GB2312"/>
          <w:sz w:val="28"/>
          <w:szCs w:val="28"/>
          <w:vertAlign w:val="superscript"/>
        </w:rPr>
        <w:t>3</w:t>
      </w:r>
      <w:r>
        <w:rPr>
          <w:rFonts w:hint="eastAsia" w:ascii="仿宋_GB2312" w:hAnsi="华文楷体" w:eastAsia="仿宋_GB2312"/>
          <w:sz w:val="28"/>
          <w:szCs w:val="28"/>
        </w:rPr>
        <w:t>，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比</w:t>
      </w:r>
      <w:r>
        <w:rPr>
          <w:rFonts w:hint="eastAsia" w:ascii="仿宋_GB2312" w:hAnsi="华文楷体" w:eastAsia="仿宋_GB2312"/>
          <w:sz w:val="28"/>
          <w:szCs w:val="28"/>
        </w:rPr>
        <w:t>去年同期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上升50.0%</w:t>
      </w:r>
      <w:r>
        <w:rPr>
          <w:rFonts w:hint="eastAsia" w:ascii="仿宋_GB2312" w:hAnsi="华文楷体" w:eastAsia="仿宋_GB2312"/>
          <w:sz w:val="28"/>
          <w:szCs w:val="28"/>
        </w:rPr>
        <w:t>。</w:t>
      </w:r>
    </w:p>
    <w:p>
      <w:pPr>
        <w:spacing w:line="560" w:lineRule="exact"/>
        <w:jc w:val="left"/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仿宋_GB2312" w:hAnsi="华文楷体" w:eastAsia="仿宋_GB2312"/>
          <w:sz w:val="28"/>
          <w:szCs w:val="28"/>
        </w:rPr>
        <w:t>　　(3)可吸入颗粒物（PM</w:t>
      </w:r>
      <w:r>
        <w:rPr>
          <w:rFonts w:hint="eastAsia" w:ascii="仿宋_GB2312" w:hAnsi="华文楷体" w:eastAsia="仿宋_GB2312"/>
          <w:sz w:val="28"/>
          <w:szCs w:val="28"/>
          <w:vertAlign w:val="subscript"/>
        </w:rPr>
        <w:t>10</w:t>
      </w:r>
      <w:r>
        <w:rPr>
          <w:rFonts w:hint="eastAsia" w:ascii="仿宋_GB2312" w:hAnsi="华文楷体" w:eastAsia="仿宋_GB2312"/>
          <w:sz w:val="28"/>
          <w:szCs w:val="28"/>
        </w:rPr>
        <w:t>）：月平均浓度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41</w:t>
      </w:r>
      <w:r>
        <w:rPr>
          <w:rFonts w:hint="eastAsia" w:ascii="仿宋" w:hAnsi="仿宋" w:eastAsia="仿宋"/>
          <w:sz w:val="28"/>
          <w:szCs w:val="28"/>
        </w:rPr>
        <w:t>μ</w:t>
      </w:r>
      <w:r>
        <w:rPr>
          <w:rFonts w:hint="eastAsia" w:ascii="仿宋_GB2312" w:hAnsi="华文楷体" w:eastAsia="仿宋_GB2312"/>
          <w:sz w:val="28"/>
          <w:szCs w:val="28"/>
        </w:rPr>
        <w:t>g/Nm</w:t>
      </w:r>
      <w:r>
        <w:rPr>
          <w:rFonts w:hint="eastAsia" w:ascii="仿宋_GB2312" w:hAnsi="华文楷体" w:eastAsia="仿宋_GB2312"/>
          <w:sz w:val="28"/>
          <w:szCs w:val="28"/>
          <w:vertAlign w:val="superscript"/>
        </w:rPr>
        <w:t>3</w:t>
      </w:r>
      <w:r>
        <w:rPr>
          <w:rFonts w:hint="eastAsia" w:ascii="仿宋_GB2312" w:hAnsi="华文楷体" w:eastAsia="仿宋_GB2312"/>
          <w:sz w:val="28"/>
          <w:szCs w:val="28"/>
        </w:rPr>
        <w:t>，</w:t>
      </w:r>
      <w:r>
        <w:rPr>
          <w:rFonts w:hint="eastAsia" w:ascii="仿宋_GB2312" w:hAnsi="华文楷体" w:eastAsia="仿宋_GB2312"/>
          <w:sz w:val="28"/>
          <w:szCs w:val="28"/>
          <w:lang w:eastAsia="zh-CN"/>
        </w:rPr>
        <w:t>比</w:t>
      </w:r>
      <w:r>
        <w:rPr>
          <w:rFonts w:hint="eastAsia" w:ascii="仿宋_GB2312" w:hAnsi="华文楷体" w:eastAsia="仿宋_GB2312"/>
          <w:sz w:val="28"/>
          <w:szCs w:val="28"/>
        </w:rPr>
        <w:t>去年同期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上升78.3%</w:t>
      </w:r>
      <w:r>
        <w:rPr>
          <w:rFonts w:hint="eastAsia" w:ascii="仿宋_GB2312" w:hAnsi="华文楷体" w:eastAsia="仿宋_GB2312"/>
          <w:sz w:val="28"/>
          <w:szCs w:val="28"/>
        </w:rPr>
        <w:t>。</w:t>
      </w:r>
    </w:p>
    <w:p>
      <w:pPr>
        <w:spacing w:line="560" w:lineRule="exact"/>
        <w:jc w:val="left"/>
        <w:rPr>
          <w:rFonts w:ascii="仿宋_GB2312" w:hAnsi="华文楷体" w:eastAsia="仿宋_GB2312"/>
          <w:sz w:val="28"/>
          <w:szCs w:val="28"/>
        </w:rPr>
      </w:pPr>
      <w:bookmarkStart w:id="4" w:name="OLE_LINK24"/>
      <w:r>
        <w:rPr>
          <w:rFonts w:hint="eastAsia" w:ascii="仿宋_GB2312" w:hAnsi="华文楷体" w:eastAsia="仿宋_GB2312"/>
          <w:sz w:val="28"/>
          <w:szCs w:val="28"/>
        </w:rPr>
        <w:t xml:space="preserve">   （4）细颗粒物（PM</w:t>
      </w:r>
      <w:r>
        <w:rPr>
          <w:rFonts w:hint="eastAsia" w:ascii="仿宋_GB2312" w:hAnsi="华文楷体" w:eastAsia="仿宋_GB2312"/>
          <w:sz w:val="28"/>
          <w:szCs w:val="28"/>
          <w:vertAlign w:val="subscript"/>
        </w:rPr>
        <w:t>2.5</w:t>
      </w:r>
      <w:r>
        <w:rPr>
          <w:rFonts w:hint="eastAsia" w:ascii="仿宋_GB2312" w:hAnsi="华文楷体" w:eastAsia="仿宋_GB2312"/>
          <w:sz w:val="28"/>
          <w:szCs w:val="28"/>
        </w:rPr>
        <w:t>）：月平均浓度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29</w:t>
      </w:r>
      <w:r>
        <w:rPr>
          <w:rFonts w:hint="eastAsia" w:ascii="仿宋" w:hAnsi="仿宋" w:eastAsia="仿宋"/>
          <w:sz w:val="28"/>
          <w:szCs w:val="28"/>
        </w:rPr>
        <w:t>μ</w:t>
      </w:r>
      <w:r>
        <w:rPr>
          <w:rFonts w:hint="eastAsia" w:ascii="仿宋_GB2312" w:hAnsi="华文楷体" w:eastAsia="仿宋_GB2312"/>
          <w:sz w:val="28"/>
          <w:szCs w:val="28"/>
        </w:rPr>
        <w:t>g/Nm</w:t>
      </w:r>
      <w:r>
        <w:rPr>
          <w:rFonts w:hint="eastAsia" w:ascii="仿宋_GB2312" w:hAnsi="华文楷体" w:eastAsia="仿宋_GB2312"/>
          <w:sz w:val="28"/>
          <w:szCs w:val="28"/>
          <w:vertAlign w:val="superscript"/>
        </w:rPr>
        <w:t>3</w:t>
      </w:r>
      <w:r>
        <w:rPr>
          <w:rFonts w:hint="eastAsia" w:ascii="仿宋_GB2312" w:hAnsi="华文楷体" w:eastAsia="仿宋_GB2312"/>
          <w:sz w:val="28"/>
          <w:szCs w:val="28"/>
        </w:rPr>
        <w:t>，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比</w:t>
      </w:r>
      <w:r>
        <w:rPr>
          <w:rFonts w:hint="eastAsia" w:ascii="仿宋_GB2312" w:hAnsi="华文楷体" w:eastAsia="仿宋_GB2312"/>
          <w:sz w:val="28"/>
          <w:szCs w:val="28"/>
        </w:rPr>
        <w:t>去年同期</w:t>
      </w:r>
      <w:bookmarkEnd w:id="4"/>
      <w:bookmarkStart w:id="5" w:name="OLE_LINK25"/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下降3.3%</w:t>
      </w:r>
      <w:r>
        <w:rPr>
          <w:rFonts w:hint="eastAsia" w:ascii="仿宋_GB2312" w:hAnsi="华文楷体" w:eastAsia="仿宋_GB2312"/>
          <w:sz w:val="28"/>
          <w:szCs w:val="28"/>
        </w:rPr>
        <w:t>。</w:t>
      </w:r>
    </w:p>
    <w:p>
      <w:pPr>
        <w:spacing w:line="560" w:lineRule="exact"/>
        <w:jc w:val="left"/>
        <w:rPr>
          <w:rFonts w:hint="eastAsia" w:ascii="仿宋_GB2312" w:hAnsi="华文楷体" w:eastAsia="仿宋_GB2312"/>
          <w:sz w:val="28"/>
          <w:szCs w:val="28"/>
          <w:lang w:eastAsia="zh-CN"/>
        </w:rPr>
      </w:pPr>
      <w:r>
        <w:rPr>
          <w:rFonts w:hint="eastAsia" w:ascii="仿宋_GB2312" w:hAnsi="华文楷体" w:eastAsia="仿宋_GB2312"/>
          <w:sz w:val="28"/>
          <w:szCs w:val="28"/>
        </w:rPr>
        <w:t xml:space="preserve">   （5）一氧化碳</w:t>
      </w:r>
      <w:r>
        <w:rPr>
          <w:rFonts w:hint="eastAsia" w:ascii="??_GB2312" w:hAnsi="华文楷体"/>
          <w:sz w:val="28"/>
          <w:szCs w:val="28"/>
        </w:rPr>
        <w:t>(</w:t>
      </w:r>
      <w:r>
        <w:rPr>
          <w:rFonts w:hint="eastAsia" w:ascii="仿宋_GB2312" w:hAnsi="华文楷体" w:eastAsia="仿宋_GB2312"/>
          <w:sz w:val="28"/>
          <w:szCs w:val="28"/>
        </w:rPr>
        <w:t>CO</w:t>
      </w:r>
      <w:r>
        <w:rPr>
          <w:rFonts w:hint="eastAsia" w:ascii="??_GB2312" w:hAnsi="华文楷体"/>
          <w:sz w:val="28"/>
          <w:szCs w:val="28"/>
        </w:rPr>
        <w:t>)</w:t>
      </w:r>
      <w:r>
        <w:rPr>
          <w:rFonts w:hint="eastAsia" w:ascii="仿宋_GB2312" w:hAnsi="华文楷体" w:eastAsia="仿宋_GB2312"/>
          <w:sz w:val="28"/>
          <w:szCs w:val="28"/>
        </w:rPr>
        <w:t>：月平均浓度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0.8</w:t>
      </w:r>
      <w:r>
        <w:rPr>
          <w:rFonts w:hint="eastAsia" w:ascii="仿宋_GB2312" w:hAnsi="华文楷体" w:eastAsia="仿宋_GB2312"/>
          <w:sz w:val="28"/>
          <w:szCs w:val="28"/>
        </w:rPr>
        <w:t>mg/Nm</w:t>
      </w:r>
      <w:r>
        <w:rPr>
          <w:rFonts w:hint="eastAsia" w:ascii="仿宋_GB2312" w:hAnsi="华文楷体" w:eastAsia="仿宋_GB2312"/>
          <w:sz w:val="28"/>
          <w:szCs w:val="28"/>
          <w:vertAlign w:val="superscript"/>
        </w:rPr>
        <w:t>3</w:t>
      </w:r>
      <w:r>
        <w:rPr>
          <w:rFonts w:hint="eastAsia" w:ascii="仿宋_GB2312" w:hAnsi="华文楷体" w:eastAsia="仿宋_GB2312"/>
          <w:sz w:val="28"/>
          <w:szCs w:val="28"/>
        </w:rPr>
        <w:t>，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比</w:t>
      </w:r>
      <w:r>
        <w:rPr>
          <w:rFonts w:hint="eastAsia" w:ascii="仿宋_GB2312" w:hAnsi="华文楷体" w:eastAsia="仿宋_GB2312"/>
          <w:sz w:val="28"/>
          <w:szCs w:val="28"/>
        </w:rPr>
        <w:t>去年同期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下降20.0%</w:t>
      </w:r>
      <w:r>
        <w:rPr>
          <w:rFonts w:hint="eastAsia" w:ascii="仿宋_GB2312" w:hAnsi="华文楷体" w:eastAsia="仿宋_GB2312"/>
          <w:sz w:val="28"/>
          <w:szCs w:val="28"/>
          <w:lang w:eastAsia="zh-CN"/>
        </w:rPr>
        <w:t>。</w:t>
      </w:r>
    </w:p>
    <w:p>
      <w:pPr>
        <w:spacing w:line="560" w:lineRule="exact"/>
        <w:ind w:firstLine="560" w:firstLineChars="200"/>
        <w:jc w:val="left"/>
        <w:rPr>
          <w:rFonts w:hint="eastAsia" w:ascii="宋体" w:hAnsi="宋体" w:eastAsia="宋体" w:cs="宋体"/>
          <w:b/>
          <w:bCs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华文楷体" w:eastAsia="仿宋_GB2312"/>
          <w:sz w:val="28"/>
          <w:szCs w:val="28"/>
          <w:lang w:eastAsia="zh-CN"/>
        </w:rPr>
        <w:t>（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6）</w:t>
      </w:r>
      <w:r>
        <w:rPr>
          <w:rFonts w:hint="eastAsia" w:ascii="仿宋_GB2312" w:hAnsi="华文楷体" w:eastAsia="仿宋_GB2312"/>
          <w:sz w:val="28"/>
          <w:szCs w:val="28"/>
        </w:rPr>
        <w:t>臭氧</w:t>
      </w:r>
      <w:r>
        <w:rPr>
          <w:rFonts w:hint="eastAsia" w:ascii="??_GB2312" w:hAnsi="华文楷体"/>
          <w:sz w:val="28"/>
          <w:szCs w:val="28"/>
        </w:rPr>
        <w:t>(O</w:t>
      </w:r>
      <w:r>
        <w:rPr>
          <w:rFonts w:hint="eastAsia" w:ascii="??_GB2312" w:hAnsi="华文楷体"/>
          <w:sz w:val="28"/>
          <w:szCs w:val="28"/>
          <w:vertAlign w:val="subscript"/>
        </w:rPr>
        <w:t>3</w:t>
      </w:r>
      <w:r>
        <w:rPr>
          <w:rFonts w:hint="eastAsia" w:ascii="??_GB2312" w:hAnsi="华文楷体"/>
          <w:sz w:val="28"/>
          <w:szCs w:val="28"/>
        </w:rPr>
        <w:t>)</w:t>
      </w:r>
      <w:r>
        <w:rPr>
          <w:rFonts w:hint="eastAsia" w:ascii="仿宋_GB2312" w:hAnsi="华文楷体" w:eastAsia="仿宋_GB2312"/>
          <w:sz w:val="28"/>
          <w:szCs w:val="28"/>
        </w:rPr>
        <w:t>：月均日最大8小时滑动平均浓度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128</w:t>
      </w:r>
      <w:r>
        <w:rPr>
          <w:rFonts w:hint="eastAsia" w:ascii="仿宋" w:hAnsi="仿宋" w:eastAsia="仿宋"/>
          <w:sz w:val="28"/>
          <w:szCs w:val="28"/>
        </w:rPr>
        <w:t>μ</w:t>
      </w:r>
      <w:r>
        <w:rPr>
          <w:rFonts w:hint="eastAsia" w:ascii="仿宋_GB2312" w:hAnsi="华文楷体" w:eastAsia="仿宋_GB2312"/>
          <w:sz w:val="28"/>
          <w:szCs w:val="28"/>
        </w:rPr>
        <w:t>g /Nm</w:t>
      </w:r>
      <w:r>
        <w:rPr>
          <w:rFonts w:hint="eastAsia" w:ascii="仿宋_GB2312" w:hAnsi="华文楷体" w:eastAsia="仿宋_GB2312"/>
          <w:sz w:val="28"/>
          <w:szCs w:val="28"/>
          <w:vertAlign w:val="superscript"/>
        </w:rPr>
        <w:t>3</w:t>
      </w:r>
      <w:r>
        <w:rPr>
          <w:rFonts w:hint="eastAsia" w:ascii="仿宋_GB2312" w:hAnsi="华文楷体" w:eastAsia="仿宋_GB2312"/>
          <w:sz w:val="28"/>
          <w:szCs w:val="28"/>
        </w:rPr>
        <w:t>，</w:t>
      </w:r>
      <w:bookmarkEnd w:id="5"/>
      <w:r>
        <w:rPr>
          <w:rFonts w:hint="eastAsia" w:ascii="仿宋_GB2312" w:hAnsi="华文楷体" w:eastAsia="仿宋_GB2312"/>
          <w:sz w:val="28"/>
          <w:szCs w:val="28"/>
          <w:lang w:eastAsia="zh-CN"/>
        </w:rPr>
        <w:t>比</w:t>
      </w:r>
      <w:r>
        <w:rPr>
          <w:rFonts w:hint="eastAsia" w:ascii="仿宋_GB2312" w:hAnsi="华文楷体" w:eastAsia="仿宋_GB2312"/>
          <w:sz w:val="28"/>
          <w:szCs w:val="28"/>
        </w:rPr>
        <w:t>去年同期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上升23.1</w:t>
      </w:r>
      <w:r>
        <w:rPr>
          <w:rFonts w:hint="eastAsia" w:ascii="仿宋_GB2312" w:hAnsi="华文楷体" w:eastAsia="仿宋_GB2312"/>
          <w:sz w:val="28"/>
          <w:szCs w:val="28"/>
        </w:rPr>
        <w:t>%。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textAlignment w:val="auto"/>
        <w:outlineLvl w:val="9"/>
        <w:rPr>
          <w:rFonts w:ascii="仿宋_GB2312" w:hAnsi="华文楷体" w:eastAsia="仿宋_GB2312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8"/>
          <w:szCs w:val="28"/>
          <w:shd w:val="clear" w:color="auto" w:fill="FFFFFF"/>
        </w:rPr>
        <w:t xml:space="preserve"> 2、各项指标与《环境空气质量标准》比较。</w:t>
      </w:r>
    </w:p>
    <w:p>
      <w:pPr>
        <w:spacing w:before="156" w:beforeLines="50" w:line="560" w:lineRule="exact"/>
        <w:ind w:firstLine="840" w:firstLineChars="300"/>
        <w:jc w:val="left"/>
        <w:rPr>
          <w:rFonts w:hint="eastAsia" w:ascii="仿宋" w:hAnsi="仿宋" w:eastAsia="仿宋" w:cs="仿宋"/>
          <w:b w:val="0"/>
          <w:bCs/>
          <w:color w:val="333333"/>
          <w:kern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333333"/>
          <w:kern w:val="0"/>
          <w:sz w:val="28"/>
          <w:szCs w:val="28"/>
          <w:shd w:val="clear" w:color="auto" w:fill="FFFFFF"/>
          <w:lang w:val="en-US" w:eastAsia="zh-CN"/>
        </w:rPr>
        <w:t>11月份所测环境空气质量参数中，参数均达标（具体数据见下表）。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440" w:lineRule="exact"/>
        <w:ind w:firstLine="361" w:firstLineChars="150"/>
        <w:jc w:val="center"/>
        <w:textAlignment w:val="auto"/>
        <w:outlineLvl w:val="9"/>
        <w:rPr>
          <w:rFonts w:ascii="宋体" w:hAnsi="宋体" w:eastAsia="宋体" w:cs="宋体"/>
          <w:b/>
          <w:color w:val="333333"/>
          <w:kern w:val="0"/>
          <w:sz w:val="24"/>
          <w:shd w:val="clear" w:color="auto" w:fill="FFFFFF"/>
        </w:rPr>
      </w:pPr>
      <w:r>
        <w:rPr>
          <w:rFonts w:hint="eastAsia" w:ascii="宋体" w:hAnsi="宋体" w:eastAsia="宋体" w:cs="宋体"/>
          <w:b/>
          <w:color w:val="333333"/>
          <w:kern w:val="0"/>
          <w:sz w:val="24"/>
          <w:shd w:val="clear" w:color="auto" w:fill="FFFFFF"/>
        </w:rPr>
        <w:t>20</w:t>
      </w:r>
      <w:r>
        <w:rPr>
          <w:rFonts w:hint="eastAsia" w:ascii="宋体" w:hAnsi="宋体" w:eastAsia="宋体" w:cs="宋体"/>
          <w:b/>
          <w:color w:val="333333"/>
          <w:kern w:val="0"/>
          <w:sz w:val="24"/>
          <w:shd w:val="clear" w:color="auto" w:fill="FFFFFF"/>
          <w:lang w:val="en-US" w:eastAsia="zh-CN"/>
        </w:rPr>
        <w:t>22</w:t>
      </w:r>
      <w:r>
        <w:rPr>
          <w:rFonts w:hint="eastAsia" w:ascii="宋体" w:hAnsi="宋体" w:eastAsia="宋体" w:cs="宋体"/>
          <w:b/>
          <w:color w:val="333333"/>
          <w:kern w:val="0"/>
          <w:sz w:val="24"/>
          <w:shd w:val="clear" w:color="auto" w:fill="FFFFFF"/>
        </w:rPr>
        <w:t>年</w:t>
      </w:r>
      <w:r>
        <w:rPr>
          <w:rFonts w:hint="eastAsia" w:ascii="宋体" w:hAnsi="宋体" w:eastAsia="宋体" w:cs="宋体"/>
          <w:b/>
          <w:color w:val="333333"/>
          <w:kern w:val="0"/>
          <w:sz w:val="24"/>
          <w:shd w:val="clear" w:color="auto" w:fill="FFFFFF"/>
          <w:lang w:val="en-US" w:eastAsia="zh-CN"/>
        </w:rPr>
        <w:t>11</w:t>
      </w:r>
      <w:r>
        <w:rPr>
          <w:rFonts w:hint="eastAsia" w:ascii="宋体" w:hAnsi="宋体" w:eastAsia="宋体" w:cs="宋体"/>
          <w:b/>
          <w:color w:val="333333"/>
          <w:kern w:val="0"/>
          <w:sz w:val="24"/>
          <w:shd w:val="clear" w:color="auto" w:fill="FFFFFF"/>
        </w:rPr>
        <w:t>月环境空气污染物浓度均值与标准比较表</w:t>
      </w:r>
    </w:p>
    <w:tbl>
      <w:tblPr>
        <w:tblStyle w:val="2"/>
        <w:tblW w:w="8867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0"/>
        <w:gridCol w:w="1014"/>
        <w:gridCol w:w="1020"/>
        <w:gridCol w:w="1155"/>
        <w:gridCol w:w="1380"/>
        <w:gridCol w:w="1230"/>
        <w:gridCol w:w="123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3" w:hRule="atLeast"/>
          <w:jc w:val="center"/>
        </w:trPr>
        <w:tc>
          <w:tcPr>
            <w:tcW w:w="183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点位</w:t>
            </w:r>
          </w:p>
        </w:tc>
        <w:tc>
          <w:tcPr>
            <w:tcW w:w="1014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SO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bscript"/>
              </w:rPr>
              <w:t>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(µg/m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)</w:t>
            </w: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NO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bscript"/>
              </w:rPr>
              <w:t>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(µg/m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55" w:type="dxa"/>
            <w:tcBorders>
              <w:top w:val="single" w:color="auto" w:sz="12" w:space="0"/>
              <w:left w:val="nil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bookmarkStart w:id="6" w:name="OLE_LINK5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Cs w:val="21"/>
                <w:vertAlign w:val="subscript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PM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bscript"/>
              </w:rPr>
              <w:t>10</w:t>
            </w:r>
            <w:bookmarkEnd w:id="6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(µg/m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38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415"/>
                <w:tab w:val="center" w:pos="72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ab/>
            </w:r>
          </w:p>
          <w:p>
            <w:pPr>
              <w:keepNext w:val="0"/>
              <w:keepLines w:val="0"/>
              <w:pageBreakBefore w:val="0"/>
              <w:widowControl/>
              <w:tabs>
                <w:tab w:val="left" w:pos="415"/>
                <w:tab w:val="center" w:pos="724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Cs w:val="21"/>
                <w:vertAlign w:val="subscript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ab/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PM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bscript"/>
              </w:rPr>
              <w:t>2.5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(µg/m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)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</w:p>
        </w:tc>
        <w:tc>
          <w:tcPr>
            <w:tcW w:w="123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CO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(mg/m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)</w:t>
            </w:r>
          </w:p>
        </w:tc>
        <w:tc>
          <w:tcPr>
            <w:tcW w:w="1238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O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bscript"/>
              </w:rPr>
              <w:t>3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(µg/m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  <w:vertAlign w:val="superscript"/>
              </w:rPr>
              <w:t>3</w:t>
            </w: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4" w:hRule="atLeast"/>
          <w:jc w:val="center"/>
        </w:trPr>
        <w:tc>
          <w:tcPr>
            <w:tcW w:w="183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城步县财政局楼顶</w:t>
            </w:r>
          </w:p>
        </w:tc>
        <w:tc>
          <w:tcPr>
            <w:tcW w:w="1014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tabs>
                <w:tab w:val="left" w:pos="349"/>
                <w:tab w:val="center" w:pos="53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02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12</w:t>
            </w:r>
          </w:p>
        </w:tc>
        <w:tc>
          <w:tcPr>
            <w:tcW w:w="1155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41</w:t>
            </w:r>
          </w:p>
        </w:tc>
        <w:tc>
          <w:tcPr>
            <w:tcW w:w="138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29</w:t>
            </w:r>
          </w:p>
        </w:tc>
        <w:tc>
          <w:tcPr>
            <w:tcW w:w="1230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0.8</w:t>
            </w:r>
          </w:p>
        </w:tc>
        <w:tc>
          <w:tcPr>
            <w:tcW w:w="1238" w:type="dxa"/>
            <w:tcBorders>
              <w:top w:val="single" w:color="auto" w:sz="12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128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  <w:jc w:val="center"/>
        </w:trPr>
        <w:tc>
          <w:tcPr>
            <w:tcW w:w="183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bookmarkStart w:id="7" w:name="OLE_LINK8" w:colFirst="4" w:colLast="4"/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《环境空气质量标准》GB3095-2012年均浓度限值</w:t>
            </w:r>
          </w:p>
        </w:tc>
        <w:tc>
          <w:tcPr>
            <w:tcW w:w="101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02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4(日均值)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FFFFFF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160(日均值)</w:t>
            </w:r>
          </w:p>
        </w:tc>
      </w:tr>
      <w:bookmarkEnd w:id="7"/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40" w:lineRule="exact"/>
        <w:ind w:firstLine="420" w:firstLineChars="200"/>
        <w:jc w:val="left"/>
        <w:textAlignment w:val="auto"/>
        <w:outlineLvl w:val="9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  <w:shd w:val="clear" w:color="auto" w:fill="FFFFFF"/>
        </w:rPr>
        <w:t>备注：根据《环境空气质量评价技术规范（试行）》(HJ633-2013)，CO取城市日均值百分之95位数；O</w:t>
      </w:r>
      <w:r>
        <w:rPr>
          <w:rFonts w:hint="eastAsia" w:ascii="宋体" w:hAnsi="宋体" w:eastAsia="宋体" w:cs="宋体"/>
          <w:color w:val="333333"/>
          <w:kern w:val="0"/>
          <w:szCs w:val="21"/>
          <w:shd w:val="clear" w:color="auto" w:fill="FFFFFF"/>
          <w:vertAlign w:val="subscript"/>
        </w:rPr>
        <w:t>3</w:t>
      </w:r>
      <w:r>
        <w:rPr>
          <w:rFonts w:hint="eastAsia" w:ascii="宋体" w:hAnsi="宋体" w:eastAsia="宋体" w:cs="宋体"/>
          <w:color w:val="333333"/>
          <w:kern w:val="0"/>
          <w:szCs w:val="21"/>
          <w:shd w:val="clear" w:color="auto" w:fill="FFFFFF"/>
        </w:rPr>
        <w:t>取城市日最大8小时平均百分之90位数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40" w:lineRule="exact"/>
        <w:ind w:firstLine="562" w:firstLineChars="200"/>
        <w:jc w:val="left"/>
        <w:textAlignment w:val="auto"/>
        <w:outlineLvl w:val="9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bCs/>
          <w:color w:val="333333"/>
          <w:kern w:val="0"/>
          <w:sz w:val="28"/>
          <w:szCs w:val="28"/>
          <w:shd w:val="clear" w:color="auto" w:fill="FFFFFF"/>
        </w:rPr>
        <w:t>3、环境空气质量日报状况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40" w:lineRule="exact"/>
        <w:ind w:right="-176" w:firstLine="551"/>
        <w:jc w:val="left"/>
        <w:textAlignment w:val="auto"/>
        <w:outlineLvl w:val="9"/>
        <w:rPr>
          <w:rFonts w:hint="eastAsia" w:ascii="宋体" w:hAnsi="宋体" w:cs="宋体"/>
          <w:b/>
          <w:color w:val="000000"/>
          <w:kern w:val="0"/>
          <w:sz w:val="24"/>
        </w:rPr>
      </w:pP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11</w:t>
      </w:r>
      <w:r>
        <w:rPr>
          <w:rFonts w:hint="eastAsia" w:ascii="仿宋_GB2312" w:hAnsi="华文楷体" w:eastAsia="仿宋_GB2312"/>
          <w:sz w:val="28"/>
          <w:szCs w:val="28"/>
        </w:rPr>
        <w:t>月,我县空气质量自动监测站共发布环境空气质量日报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30</w:t>
      </w:r>
      <w:r>
        <w:rPr>
          <w:rFonts w:hint="eastAsia" w:ascii="仿宋_GB2312" w:hAnsi="华文楷体" w:eastAsia="仿宋_GB2312"/>
          <w:sz w:val="28"/>
          <w:szCs w:val="28"/>
        </w:rPr>
        <w:t>天，空气质量指数在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23</w:t>
      </w:r>
      <w:r>
        <w:rPr>
          <w:rFonts w:hint="eastAsia" w:ascii="仿宋_GB2312" w:hAnsi="华文楷体" w:eastAsia="仿宋_GB2312"/>
          <w:sz w:val="28"/>
          <w:szCs w:val="28"/>
        </w:rPr>
        <w:t>～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85</w:t>
      </w:r>
      <w:r>
        <w:rPr>
          <w:rFonts w:hint="eastAsia" w:ascii="仿宋_GB2312" w:hAnsi="华文楷体" w:eastAsia="仿宋_GB2312"/>
          <w:sz w:val="28"/>
          <w:szCs w:val="28"/>
        </w:rPr>
        <w:t>之间，优良天数比例为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100</w:t>
      </w:r>
      <w:r>
        <w:rPr>
          <w:rFonts w:hint="eastAsia" w:ascii="仿宋_GB2312" w:hAnsi="华文楷体" w:eastAsia="仿宋_GB2312"/>
          <w:sz w:val="28"/>
          <w:szCs w:val="28"/>
        </w:rPr>
        <w:t>%</w:t>
      </w:r>
      <w:bookmarkStart w:id="8" w:name="OLE_LINK4"/>
      <w:r>
        <w:rPr>
          <w:rFonts w:hint="eastAsia" w:ascii="仿宋_GB2312" w:hAnsi="华文楷体" w:eastAsia="仿宋_GB2312"/>
          <w:sz w:val="28"/>
          <w:szCs w:val="28"/>
        </w:rPr>
        <w:t>。</w:t>
      </w:r>
      <w:bookmarkEnd w:id="3"/>
      <w:bookmarkEnd w:id="8"/>
      <w:bookmarkStart w:id="9" w:name="OLE_LINK9"/>
      <w:bookmarkStart w:id="10" w:name="OLE_LINK6"/>
    </w:p>
    <w:bookmarkEnd w:id="9"/>
    <w:bookmarkEnd w:id="10"/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120" w:line="440" w:lineRule="exact"/>
        <w:ind w:right="560" w:firstLine="560"/>
        <w:jc w:val="center"/>
        <w:textAlignment w:val="auto"/>
        <w:outlineLvl w:val="9"/>
        <w:rPr>
          <w:rFonts w:ascii="仿宋_GB2312" w:hAnsi="华文楷体" w:eastAsia="仿宋_GB2312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</w:rPr>
        <w:t>20</w:t>
      </w:r>
      <w:r>
        <w:rPr>
          <w:rFonts w:hint="eastAsia" w:ascii="宋体" w:hAnsi="宋体" w:cs="宋体"/>
          <w:b/>
          <w:color w:val="000000"/>
          <w:kern w:val="0"/>
          <w:sz w:val="24"/>
          <w:lang w:val="en-US" w:eastAsia="zh-CN"/>
        </w:rPr>
        <w:t>22</w:t>
      </w:r>
      <w:r>
        <w:rPr>
          <w:rFonts w:hint="eastAsia" w:ascii="仿宋_GB2312" w:hAnsi="华文楷体" w:eastAsia="仿宋_GB2312" w:cs="宋体"/>
          <w:b/>
          <w:color w:val="000000"/>
          <w:kern w:val="0"/>
          <w:sz w:val="24"/>
        </w:rPr>
        <w:t>年</w:t>
      </w:r>
      <w:r>
        <w:rPr>
          <w:rFonts w:hint="eastAsia" w:ascii="仿宋_GB2312" w:hAnsi="华文楷体" w:eastAsia="仿宋_GB2312" w:cs="宋体"/>
          <w:b/>
          <w:color w:val="000000"/>
          <w:kern w:val="0"/>
          <w:sz w:val="24"/>
          <w:lang w:val="en-US" w:eastAsia="zh-CN"/>
        </w:rPr>
        <w:t>11</w:t>
      </w:r>
      <w:r>
        <w:rPr>
          <w:rFonts w:hint="eastAsia" w:ascii="仿宋_GB2312" w:hAnsi="华文楷体" w:eastAsia="仿宋_GB2312" w:cs="宋体"/>
          <w:b/>
          <w:color w:val="000000"/>
          <w:kern w:val="0"/>
          <w:sz w:val="24"/>
        </w:rPr>
        <w:t>月空气质量日报统计表</w:t>
      </w:r>
    </w:p>
    <w:tbl>
      <w:tblPr>
        <w:tblStyle w:val="2"/>
        <w:tblW w:w="9132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2655"/>
        <w:gridCol w:w="2504"/>
        <w:gridCol w:w="1957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467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楷体" w:eastAsia="仿宋_GB2312" w:cs="宋体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2504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楷体" w:eastAsia="仿宋_GB2312" w:cs="宋体"/>
                <w:color w:val="000000"/>
                <w:kern w:val="0"/>
                <w:szCs w:val="21"/>
              </w:rPr>
              <w:t>出现天数（天）</w:t>
            </w:r>
          </w:p>
        </w:tc>
        <w:tc>
          <w:tcPr>
            <w:tcW w:w="1957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所占百分比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01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楷体" w:eastAsia="仿宋_GB2312" w:cs="宋体"/>
                <w:color w:val="000000"/>
                <w:kern w:val="0"/>
                <w:szCs w:val="21"/>
              </w:rPr>
              <w:t>质量状况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华文楷体" w:eastAsia="仿宋_GB2312" w:cs="宋体"/>
                <w:color w:val="000000"/>
                <w:kern w:val="0"/>
                <w:szCs w:val="21"/>
              </w:rPr>
              <w:t>空气质量指数(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AQI</w:t>
            </w:r>
            <w:r>
              <w:rPr>
                <w:rFonts w:hint="eastAsia" w:ascii="仿宋_GB2312" w:hAnsi="华文楷体" w:eastAsia="仿宋_GB2312" w:cs="宋体"/>
                <w:color w:val="000000"/>
                <w:kern w:val="0"/>
                <w:szCs w:val="21"/>
              </w:rPr>
              <w:t>)范围</w:t>
            </w:r>
          </w:p>
        </w:tc>
        <w:tc>
          <w:tcPr>
            <w:tcW w:w="2504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57" w:type="dxa"/>
            <w:vMerge w:val="continue"/>
            <w:tcBorders>
              <w:right w:val="single" w:color="auto" w:sz="4" w:space="0"/>
            </w:tcBorders>
          </w:tcPr>
          <w:p>
            <w:pPr>
              <w:spacing w:line="400" w:lineRule="exact"/>
              <w:rPr>
                <w:rFonts w:ascii="仿宋_GB2312" w:hAnsi="华文楷体" w:eastAsia="仿宋_GB2312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1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楷体" w:eastAsia="仿宋_GB2312" w:cs="宋体"/>
                <w:color w:val="000000"/>
                <w:kern w:val="0"/>
                <w:sz w:val="18"/>
                <w:szCs w:val="18"/>
              </w:rPr>
              <w:t>优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0～50</w:t>
            </w:r>
          </w:p>
        </w:tc>
        <w:tc>
          <w:tcPr>
            <w:tcW w:w="2504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195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53.3%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2016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仿宋_GB2312" w:hAnsi="华文楷体" w:eastAsia="仿宋_GB2312" w:cs="宋体"/>
                <w:color w:val="000000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仿宋_GB2312" w:hAnsi="华文楷体" w:eastAsia="仿宋_GB2312" w:cs="宋体"/>
                <w:color w:val="000000"/>
                <w:kern w:val="0"/>
                <w:sz w:val="18"/>
                <w:szCs w:val="18"/>
                <w:lang w:eastAsia="zh-CN"/>
              </w:rPr>
              <w:t>良</w:t>
            </w:r>
          </w:p>
        </w:tc>
        <w:tc>
          <w:tcPr>
            <w:tcW w:w="2655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51～100</w:t>
            </w:r>
          </w:p>
        </w:tc>
        <w:tc>
          <w:tcPr>
            <w:tcW w:w="2504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default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1957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46.7%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467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仿宋_GB2312" w:hAnsi="华文楷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仿宋_GB2312" w:hAnsi="华文楷体" w:eastAsia="仿宋_GB2312" w:cs="宋体"/>
                <w:bCs/>
                <w:color w:val="000000"/>
                <w:kern w:val="0"/>
                <w:sz w:val="18"/>
                <w:szCs w:val="18"/>
              </w:rPr>
              <w:t>合   计</w:t>
            </w:r>
          </w:p>
        </w:tc>
        <w:tc>
          <w:tcPr>
            <w:tcW w:w="2504" w:type="dxa"/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hint="default" w:ascii="宋体" w:hAnsi="宋体" w:cs="宋体" w:eastAsiaTheme="minorEastAsia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1957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100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%</w:t>
            </w:r>
          </w:p>
        </w:tc>
      </w:tr>
    </w:tbl>
    <w:p>
      <w:pPr>
        <w:widowControl/>
        <w:shd w:val="clear" w:color="auto" w:fill="FFFFFF"/>
        <w:spacing w:before="120" w:after="120" w:line="360" w:lineRule="atLeast"/>
        <w:ind w:right="-176"/>
        <w:jc w:val="left"/>
        <w:rPr>
          <w:rFonts w:hint="eastAsia" w:ascii="仿宋_GB2312" w:hAnsi="华文楷体" w:eastAsia="仿宋_GB2312"/>
          <w:b/>
          <w:spacing w:val="38"/>
          <w:sz w:val="36"/>
          <w:szCs w:val="36"/>
        </w:rPr>
      </w:pPr>
    </w:p>
    <w:p>
      <w:pPr>
        <w:widowControl/>
        <w:shd w:val="clear" w:color="auto" w:fill="FFFFFF"/>
        <w:spacing w:before="120" w:after="120" w:line="360" w:lineRule="atLeast"/>
        <w:ind w:right="-176" w:firstLine="437" w:firstLineChars="100"/>
        <w:jc w:val="left"/>
        <w:rPr>
          <w:rFonts w:ascii="仿宋_GB2312" w:hAnsi="华文楷体" w:eastAsia="仿宋_GB2312"/>
          <w:b/>
          <w:sz w:val="30"/>
          <w:szCs w:val="30"/>
        </w:rPr>
      </w:pPr>
      <w:r>
        <w:rPr>
          <w:rFonts w:hint="eastAsia" w:ascii="仿宋_GB2312" w:hAnsi="华文楷体" w:eastAsia="仿宋_GB2312"/>
          <w:b/>
          <w:spacing w:val="38"/>
          <w:sz w:val="36"/>
          <w:szCs w:val="36"/>
        </w:rPr>
        <w:t>二、水环境质量</w:t>
      </w:r>
      <w:r>
        <w:rPr>
          <w:rFonts w:hint="eastAsia" w:ascii="仿宋_GB2312" w:hAnsi="华文楷体" w:eastAsia="仿宋_GB2312"/>
          <w:b/>
          <w:sz w:val="30"/>
          <w:szCs w:val="30"/>
        </w:rPr>
        <w:t>　</w:t>
      </w:r>
    </w:p>
    <w:p>
      <w:pPr>
        <w:spacing w:before="156" w:beforeLines="50" w:after="156" w:afterLines="50" w:line="400" w:lineRule="exact"/>
        <w:ind w:firstLine="602" w:firstLineChars="200"/>
        <w:rPr>
          <w:rFonts w:ascii="仿宋_GB2312" w:hAnsi="华文楷体" w:eastAsia="仿宋_GB2312"/>
          <w:b/>
          <w:sz w:val="30"/>
          <w:szCs w:val="30"/>
        </w:rPr>
      </w:pPr>
      <w:r>
        <w:rPr>
          <w:rFonts w:hint="eastAsia" w:ascii="仿宋_GB2312" w:hAnsi="华文楷体" w:eastAsia="仿宋_GB2312"/>
          <w:b/>
          <w:sz w:val="30"/>
          <w:szCs w:val="30"/>
        </w:rPr>
        <w:t>1、饮用水源水质状况</w:t>
      </w:r>
    </w:p>
    <w:p>
      <w:pPr>
        <w:spacing w:before="156" w:beforeLines="50" w:after="156" w:afterLines="50" w:line="400" w:lineRule="exact"/>
        <w:ind w:firstLine="560" w:firstLineChars="200"/>
        <w:rPr>
          <w:rFonts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仿宋_GB2312" w:hAnsi="华文楷体" w:eastAsia="仿宋_GB2312"/>
          <w:sz w:val="28"/>
          <w:szCs w:val="28"/>
        </w:rPr>
        <w:t>我县设饮用水监测断面一个即白云湖断面，所测指标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32</w:t>
      </w:r>
      <w:r>
        <w:rPr>
          <w:rFonts w:hint="eastAsia" w:ascii="仿宋_GB2312" w:hAnsi="华文楷体" w:eastAsia="仿宋_GB2312"/>
          <w:sz w:val="28"/>
          <w:szCs w:val="28"/>
        </w:rPr>
        <w:t>项。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11</w:t>
      </w:r>
      <w:r>
        <w:rPr>
          <w:rFonts w:hint="eastAsia" w:ascii="仿宋_GB2312" w:hAnsi="华文楷体" w:eastAsia="仿宋_GB2312"/>
          <w:sz w:val="28"/>
          <w:szCs w:val="28"/>
        </w:rPr>
        <w:t>月，白云湖断面水质达到《地表水环境质量标准》</w:t>
      </w:r>
      <w:r>
        <w:rPr>
          <w:rFonts w:hint="eastAsia" w:ascii="仿宋" w:hAnsi="仿宋" w:eastAsia="仿宋" w:cs="仿宋"/>
          <w:sz w:val="28"/>
          <w:szCs w:val="28"/>
        </w:rPr>
        <w:t>Ⅱ类</w:t>
      </w:r>
      <w:r>
        <w:rPr>
          <w:rFonts w:hint="eastAsia" w:ascii="仿宋_GB2312" w:hAnsi="华文楷体" w:eastAsia="仿宋_GB2312"/>
          <w:sz w:val="28"/>
          <w:szCs w:val="28"/>
        </w:rPr>
        <w:t>标准。</w:t>
      </w:r>
    </w:p>
    <w:p>
      <w:pPr>
        <w:widowControl/>
        <w:snapToGrid w:val="0"/>
        <w:spacing w:before="156" w:beforeLines="50" w:after="156" w:afterLines="50" w:line="600" w:lineRule="exact"/>
        <w:ind w:firstLine="1325" w:firstLineChars="550"/>
        <w:rPr>
          <w:rFonts w:ascii="仿宋_GB2312" w:hAnsi="华文楷体" w:eastAsia="仿宋_GB2312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20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22</w:t>
      </w:r>
      <w:r>
        <w:rPr>
          <w:rFonts w:hint="eastAsia" w:ascii="仿宋_GB2312" w:hAnsi="华文楷体" w:eastAsia="仿宋_GB2312" w:cs="宋体"/>
          <w:b/>
          <w:bCs/>
          <w:color w:val="000000"/>
          <w:kern w:val="0"/>
          <w:sz w:val="24"/>
        </w:rPr>
        <w:t>年</w:t>
      </w:r>
      <w:r>
        <w:rPr>
          <w:rFonts w:hint="eastAsia" w:ascii="仿宋_GB2312" w:hAnsi="华文楷体" w:eastAsia="仿宋_GB2312" w:cs="宋体"/>
          <w:b/>
          <w:bCs/>
          <w:color w:val="000000"/>
          <w:kern w:val="0"/>
          <w:sz w:val="24"/>
          <w:lang w:val="en-US" w:eastAsia="zh-CN"/>
        </w:rPr>
        <w:t>11</w:t>
      </w:r>
      <w:r>
        <w:rPr>
          <w:rFonts w:hint="eastAsia" w:ascii="仿宋_GB2312" w:hAnsi="华文楷体" w:eastAsia="仿宋_GB2312" w:cs="宋体"/>
          <w:b/>
          <w:bCs/>
          <w:color w:val="000000"/>
          <w:kern w:val="0"/>
          <w:sz w:val="24"/>
        </w:rPr>
        <w:t>月饮用水源水质与去年同期水质比较</w:t>
      </w:r>
    </w:p>
    <w:tbl>
      <w:tblPr>
        <w:tblStyle w:val="2"/>
        <w:tblpPr w:leftFromText="180" w:rightFromText="180" w:vertAnchor="text" w:horzAnchor="margin" w:tblpXSpec="center" w:tblpY="102"/>
        <w:tblW w:w="883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2206"/>
        <w:gridCol w:w="1199"/>
        <w:gridCol w:w="1507"/>
        <w:gridCol w:w="1169"/>
        <w:gridCol w:w="1439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1319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河流名称</w:t>
            </w:r>
          </w:p>
        </w:tc>
        <w:tc>
          <w:tcPr>
            <w:tcW w:w="2206" w:type="dxa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断面名称</w:t>
            </w:r>
          </w:p>
        </w:tc>
        <w:tc>
          <w:tcPr>
            <w:tcW w:w="119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水功能</w:t>
            </w:r>
          </w:p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区目标</w:t>
            </w:r>
          </w:p>
        </w:tc>
        <w:tc>
          <w:tcPr>
            <w:tcW w:w="15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超标项目</w:t>
            </w:r>
          </w:p>
        </w:tc>
        <w:tc>
          <w:tcPr>
            <w:tcW w:w="116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本月水</w:t>
            </w:r>
          </w:p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质类别</w:t>
            </w:r>
          </w:p>
        </w:tc>
        <w:tc>
          <w:tcPr>
            <w:tcW w:w="143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去年同期水质类别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319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bookmarkStart w:id="11" w:name="OLE_LINK22" w:colFirst="4" w:colLast="5"/>
            <w:r>
              <w:rPr>
                <w:rFonts w:hint="eastAsia" w:ascii="仿宋_GB2312" w:hAnsi="华文楷体" w:eastAsia="仿宋_GB2312"/>
                <w:szCs w:val="21"/>
              </w:rPr>
              <w:t>沅江巫水</w:t>
            </w:r>
          </w:p>
        </w:tc>
        <w:tc>
          <w:tcPr>
            <w:tcW w:w="2206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白云湖断面</w:t>
            </w:r>
          </w:p>
        </w:tc>
        <w:tc>
          <w:tcPr>
            <w:tcW w:w="119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Ⅲ</w:t>
            </w:r>
          </w:p>
        </w:tc>
        <w:tc>
          <w:tcPr>
            <w:tcW w:w="1507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无</w:t>
            </w:r>
          </w:p>
        </w:tc>
        <w:tc>
          <w:tcPr>
            <w:tcW w:w="116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Ⅱ</w:t>
            </w:r>
          </w:p>
        </w:tc>
        <w:tc>
          <w:tcPr>
            <w:tcW w:w="1439" w:type="dxa"/>
            <w:vAlign w:val="center"/>
          </w:tcPr>
          <w:p>
            <w:pPr>
              <w:widowControl/>
              <w:shd w:val="clear" w:color="auto" w:fill="FFFFFF"/>
              <w:spacing w:before="120" w:after="120" w:line="42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Ⅱ</w:t>
            </w:r>
          </w:p>
        </w:tc>
      </w:tr>
      <w:bookmarkEnd w:id="11"/>
    </w:tbl>
    <w:p>
      <w:pPr>
        <w:spacing w:before="156" w:beforeLines="50" w:after="156" w:afterLines="50" w:line="420" w:lineRule="exact"/>
        <w:ind w:firstLine="151" w:firstLineChars="50"/>
        <w:outlineLvl w:val="0"/>
        <w:rPr>
          <w:rFonts w:ascii="仿宋_GB2312" w:hAnsi="华文楷体" w:eastAsia="仿宋_GB2312"/>
          <w:b/>
          <w:sz w:val="30"/>
          <w:szCs w:val="30"/>
        </w:rPr>
      </w:pPr>
      <w:r>
        <w:rPr>
          <w:rFonts w:hint="eastAsia" w:ascii="仿宋_GB2312" w:hAnsi="华文楷体" w:eastAsia="仿宋_GB2312"/>
          <w:b/>
          <w:sz w:val="30"/>
          <w:szCs w:val="30"/>
        </w:rPr>
        <w:t>　2、主要河流水质状况</w:t>
      </w:r>
    </w:p>
    <w:p>
      <w:pPr>
        <w:widowControl/>
        <w:snapToGrid w:val="0"/>
        <w:spacing w:before="156" w:beforeLines="50" w:after="156" w:afterLines="50" w:line="400" w:lineRule="exact"/>
        <w:ind w:firstLine="560" w:firstLineChars="200"/>
        <w:rPr>
          <w:rFonts w:hint="eastAsia" w:ascii="仿宋_GB2312" w:hAnsi="华文楷体" w:eastAsia="仿宋_GB2312"/>
          <w:sz w:val="28"/>
          <w:szCs w:val="28"/>
        </w:rPr>
      </w:pPr>
      <w:r>
        <w:rPr>
          <w:rFonts w:hint="eastAsia" w:ascii="仿宋_GB2312" w:hAnsi="华文楷体" w:eastAsia="仿宋_GB2312"/>
          <w:sz w:val="28"/>
          <w:szCs w:val="28"/>
        </w:rPr>
        <w:t>我县设地表水监测断面2个：沅江巫水河两河口断面和花园阁断面，所</w:t>
      </w:r>
      <w:bookmarkStart w:id="12" w:name="OLE_LINK15"/>
      <w:bookmarkStart w:id="13" w:name="OLE_LINK12"/>
      <w:r>
        <w:rPr>
          <w:rFonts w:hint="eastAsia" w:ascii="仿宋_GB2312" w:hAnsi="华文楷体" w:eastAsia="仿宋_GB2312"/>
          <w:sz w:val="28"/>
          <w:szCs w:val="28"/>
        </w:rPr>
        <w:t>测指标2</w:t>
      </w:r>
      <w:r>
        <w:rPr>
          <w:rFonts w:hint="eastAsia" w:ascii="仿宋_GB2312" w:hAnsi="华文楷体" w:eastAsia="仿宋_GB2312"/>
          <w:sz w:val="28"/>
          <w:szCs w:val="28"/>
          <w:lang w:val="en-US" w:eastAsia="zh-CN"/>
        </w:rPr>
        <w:t>7</w:t>
      </w:r>
      <w:r>
        <w:rPr>
          <w:rFonts w:hint="eastAsia" w:ascii="仿宋_GB2312" w:hAnsi="华文楷体" w:eastAsia="仿宋_GB2312"/>
          <w:sz w:val="28"/>
          <w:szCs w:val="28"/>
        </w:rPr>
        <w:t>项，</w:t>
      </w:r>
      <w:bookmarkEnd w:id="12"/>
      <w:bookmarkEnd w:id="13"/>
      <w:r>
        <w:rPr>
          <w:rFonts w:hint="eastAsia" w:ascii="仿宋_GB2312" w:hAnsi="华文楷体" w:eastAsia="仿宋_GB2312"/>
          <w:sz w:val="28"/>
          <w:szCs w:val="28"/>
          <w:lang w:eastAsia="zh-CN"/>
        </w:rPr>
        <w:t>两河口断面</w:t>
      </w:r>
      <w:r>
        <w:rPr>
          <w:rFonts w:hint="eastAsia" w:ascii="仿宋_GB2312" w:hAnsi="华文楷体" w:eastAsia="仿宋_GB2312"/>
          <w:sz w:val="28"/>
          <w:szCs w:val="28"/>
        </w:rPr>
        <w:t>达到《地表水环境质量标准》</w:t>
      </w:r>
      <w:r>
        <w:rPr>
          <w:rFonts w:hint="eastAsia" w:ascii="仿宋" w:hAnsi="仿宋" w:eastAsia="仿宋" w:cs="仿宋"/>
          <w:sz w:val="28"/>
          <w:szCs w:val="28"/>
        </w:rPr>
        <w:t>Ⅱ</w:t>
      </w:r>
      <w:r>
        <w:rPr>
          <w:rFonts w:hint="eastAsia" w:ascii="仿宋_GB2312" w:hAnsi="华文楷体" w:eastAsia="仿宋_GB2312"/>
          <w:sz w:val="28"/>
          <w:szCs w:val="28"/>
        </w:rPr>
        <w:t>类水质标准</w:t>
      </w:r>
      <w:r>
        <w:rPr>
          <w:rFonts w:hint="eastAsia" w:ascii="仿宋_GB2312" w:hAnsi="华文楷体" w:eastAsia="仿宋_GB2312"/>
          <w:sz w:val="28"/>
          <w:szCs w:val="28"/>
          <w:lang w:eastAsia="zh-CN"/>
        </w:rPr>
        <w:t>，花园阁断面达到</w:t>
      </w:r>
      <w:r>
        <w:rPr>
          <w:rFonts w:hint="eastAsia" w:ascii="仿宋_GB2312" w:hAnsi="华文楷体" w:eastAsia="仿宋_GB2312"/>
          <w:sz w:val="28"/>
          <w:szCs w:val="28"/>
        </w:rPr>
        <w:t>《地表水环境质量标准》</w:t>
      </w:r>
      <w:r>
        <w:rPr>
          <w:rFonts w:hint="eastAsia" w:ascii="宋体" w:hAnsi="宋体" w:eastAsia="宋体" w:cs="宋体"/>
          <w:sz w:val="28"/>
          <w:szCs w:val="28"/>
        </w:rPr>
        <w:t>Ⅰ</w:t>
      </w:r>
      <w:r>
        <w:rPr>
          <w:rFonts w:hint="eastAsia" w:ascii="仿宋_GB2312" w:hAnsi="华文楷体" w:eastAsia="仿宋_GB2312"/>
          <w:sz w:val="28"/>
          <w:szCs w:val="28"/>
        </w:rPr>
        <w:t>类水质标准。</w:t>
      </w:r>
    </w:p>
    <w:p>
      <w:pPr>
        <w:widowControl/>
        <w:snapToGrid w:val="0"/>
        <w:spacing w:before="156" w:beforeLines="50" w:after="156" w:afterLines="50" w:line="400" w:lineRule="exact"/>
        <w:ind w:firstLine="1446" w:firstLineChars="600"/>
        <w:rPr>
          <w:rFonts w:ascii="仿宋_GB2312" w:hAnsi="华文楷体" w:eastAsia="仿宋_GB2312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20</w:t>
      </w:r>
      <w:r>
        <w:rPr>
          <w:rFonts w:hint="eastAsia" w:ascii="宋体" w:hAnsi="宋体" w:cs="宋体"/>
          <w:b/>
          <w:bCs/>
          <w:color w:val="000000"/>
          <w:kern w:val="0"/>
          <w:sz w:val="24"/>
          <w:lang w:val="en-US" w:eastAsia="zh-CN"/>
        </w:rPr>
        <w:t>22</w:t>
      </w:r>
      <w:r>
        <w:rPr>
          <w:rFonts w:hint="eastAsia" w:ascii="仿宋_GB2312" w:hAnsi="华文楷体" w:eastAsia="仿宋_GB2312" w:cs="宋体"/>
          <w:b/>
          <w:bCs/>
          <w:color w:val="000000"/>
          <w:kern w:val="0"/>
          <w:sz w:val="24"/>
        </w:rPr>
        <w:t>年</w:t>
      </w:r>
      <w:r>
        <w:rPr>
          <w:rFonts w:hint="eastAsia" w:ascii="仿宋_GB2312" w:hAnsi="华文楷体" w:eastAsia="仿宋_GB2312" w:cs="宋体"/>
          <w:b/>
          <w:bCs/>
          <w:color w:val="000000"/>
          <w:kern w:val="0"/>
          <w:sz w:val="24"/>
          <w:lang w:val="en-US" w:eastAsia="zh-CN"/>
        </w:rPr>
        <w:t>11</w:t>
      </w:r>
      <w:bookmarkStart w:id="14" w:name="_GoBack"/>
      <w:bookmarkEnd w:id="14"/>
      <w:r>
        <w:rPr>
          <w:rFonts w:hint="eastAsia" w:ascii="仿宋_GB2312" w:hAnsi="华文楷体" w:eastAsia="仿宋_GB2312" w:cs="宋体"/>
          <w:b/>
          <w:bCs/>
          <w:color w:val="000000"/>
          <w:kern w:val="0"/>
          <w:sz w:val="24"/>
        </w:rPr>
        <w:t>月主要河流水质与去年同期比较</w:t>
      </w:r>
    </w:p>
    <w:tbl>
      <w:tblPr>
        <w:tblStyle w:val="2"/>
        <w:tblpPr w:leftFromText="180" w:rightFromText="180" w:vertAnchor="text" w:horzAnchor="margin" w:tblpXSpec="center" w:tblpY="102"/>
        <w:tblW w:w="8495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5"/>
        <w:gridCol w:w="1184"/>
        <w:gridCol w:w="1922"/>
        <w:gridCol w:w="1045"/>
        <w:gridCol w:w="1314"/>
        <w:gridCol w:w="1019"/>
        <w:gridCol w:w="1256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1939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河流名称</w:t>
            </w:r>
          </w:p>
        </w:tc>
        <w:tc>
          <w:tcPr>
            <w:tcW w:w="1922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断面</w:t>
            </w:r>
          </w:p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名称</w:t>
            </w:r>
          </w:p>
        </w:tc>
        <w:tc>
          <w:tcPr>
            <w:tcW w:w="104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水功能区目标</w:t>
            </w:r>
          </w:p>
        </w:tc>
        <w:tc>
          <w:tcPr>
            <w:tcW w:w="131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超标项目</w:t>
            </w:r>
          </w:p>
        </w:tc>
        <w:tc>
          <w:tcPr>
            <w:tcW w:w="101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本年水</w:t>
            </w:r>
          </w:p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质类别</w:t>
            </w:r>
          </w:p>
        </w:tc>
        <w:tc>
          <w:tcPr>
            <w:tcW w:w="125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去年同期水质类别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75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干流</w:t>
            </w:r>
          </w:p>
        </w:tc>
        <w:tc>
          <w:tcPr>
            <w:tcW w:w="11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支流</w:t>
            </w:r>
          </w:p>
        </w:tc>
        <w:tc>
          <w:tcPr>
            <w:tcW w:w="1922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</w:rPr>
            </w:pPr>
          </w:p>
        </w:tc>
        <w:tc>
          <w:tcPr>
            <w:tcW w:w="1045" w:type="dxa"/>
            <w:vMerge w:val="continue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</w:rPr>
            </w:pPr>
          </w:p>
        </w:tc>
        <w:tc>
          <w:tcPr>
            <w:tcW w:w="131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</w:rPr>
            </w:pPr>
          </w:p>
        </w:tc>
        <w:tc>
          <w:tcPr>
            <w:tcW w:w="101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</w:rPr>
            </w:pPr>
          </w:p>
        </w:tc>
        <w:tc>
          <w:tcPr>
            <w:tcW w:w="1256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5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沅江</w:t>
            </w:r>
          </w:p>
        </w:tc>
        <w:tc>
          <w:tcPr>
            <w:tcW w:w="11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巫水</w:t>
            </w:r>
          </w:p>
        </w:tc>
        <w:tc>
          <w:tcPr>
            <w:tcW w:w="192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两河口断面</w:t>
            </w:r>
          </w:p>
        </w:tc>
        <w:tc>
          <w:tcPr>
            <w:tcW w:w="1045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Ⅲ</w:t>
            </w:r>
          </w:p>
        </w:tc>
        <w:tc>
          <w:tcPr>
            <w:tcW w:w="131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无</w:t>
            </w:r>
          </w:p>
        </w:tc>
        <w:tc>
          <w:tcPr>
            <w:tcW w:w="1019" w:type="dxa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Ⅱ</w:t>
            </w:r>
          </w:p>
        </w:tc>
        <w:tc>
          <w:tcPr>
            <w:tcW w:w="1256" w:type="dxa"/>
            <w:vAlign w:val="center"/>
          </w:tcPr>
          <w:p>
            <w:pPr>
              <w:widowControl/>
              <w:shd w:val="clear" w:color="auto" w:fill="FFFFFF"/>
              <w:spacing w:before="120" w:after="120" w:line="42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Ⅱ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55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沅江</w:t>
            </w:r>
          </w:p>
        </w:tc>
        <w:tc>
          <w:tcPr>
            <w:tcW w:w="118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巫水</w:t>
            </w:r>
          </w:p>
        </w:tc>
        <w:tc>
          <w:tcPr>
            <w:tcW w:w="1922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花园阁断面</w:t>
            </w:r>
          </w:p>
        </w:tc>
        <w:tc>
          <w:tcPr>
            <w:tcW w:w="1045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Ⅲ</w:t>
            </w:r>
          </w:p>
        </w:tc>
        <w:tc>
          <w:tcPr>
            <w:tcW w:w="1314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华文楷体" w:eastAsia="仿宋_GB2312"/>
                <w:szCs w:val="21"/>
              </w:rPr>
            </w:pPr>
            <w:r>
              <w:rPr>
                <w:rFonts w:hint="eastAsia" w:ascii="仿宋_GB2312" w:hAnsi="华文楷体" w:eastAsia="仿宋_GB2312"/>
                <w:szCs w:val="21"/>
              </w:rPr>
              <w:t>无</w:t>
            </w:r>
          </w:p>
        </w:tc>
        <w:tc>
          <w:tcPr>
            <w:tcW w:w="1019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Ⅰ</w:t>
            </w:r>
          </w:p>
        </w:tc>
        <w:tc>
          <w:tcPr>
            <w:tcW w:w="1256" w:type="dxa"/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hint="eastAsia" w:asciiTheme="minorEastAsia" w:hAnsiTheme="minorEastAsia"/>
                <w:szCs w:val="21"/>
              </w:rPr>
              <w:t>Ⅱ</w:t>
            </w:r>
          </w:p>
        </w:tc>
      </w:tr>
    </w:tbl>
    <w:p>
      <w:pPr>
        <w:widowControl/>
        <w:shd w:val="clear" w:color="auto" w:fill="FFFFFF"/>
        <w:spacing w:before="120" w:after="120" w:line="420" w:lineRule="atLeast"/>
        <w:jc w:val="left"/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before="120" w:after="120" w:line="420" w:lineRule="atLeast"/>
        <w:jc w:val="left"/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before="120" w:after="120" w:line="420" w:lineRule="atLeast"/>
        <w:jc w:val="left"/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before="120" w:after="120" w:line="420" w:lineRule="atLeast"/>
        <w:jc w:val="left"/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before="120" w:after="120" w:line="420" w:lineRule="atLeast"/>
        <w:jc w:val="left"/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before="120" w:after="120" w:line="420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2"/>
          <w:szCs w:val="32"/>
          <w:shd w:val="clear" w:color="auto" w:fill="FFFFFF"/>
        </w:rPr>
        <w:t>附  录</w:t>
      </w:r>
    </w:p>
    <w:p>
      <w:pPr>
        <w:widowControl/>
        <w:shd w:val="clear" w:color="auto" w:fill="FFFFFF"/>
        <w:spacing w:line="420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  <w:shd w:val="clear" w:color="auto" w:fill="FFFFFF"/>
        </w:rPr>
        <w:t> </w:t>
      </w:r>
      <w:r>
        <w:rPr>
          <w:rFonts w:hint="eastAsia" w:ascii="宋体" w:hAnsi="宋体" w:eastAsia="宋体" w:cs="宋体"/>
          <w:color w:val="333333"/>
          <w:kern w:val="0"/>
          <w:sz w:val="30"/>
          <w:szCs w:val="30"/>
          <w:shd w:val="clear" w:color="auto" w:fill="FFFFFF"/>
        </w:rPr>
        <w:t>1、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城市环境空气质量定性评价</w:t>
      </w:r>
    </w:p>
    <w:tbl>
      <w:tblPr>
        <w:tblStyle w:val="2"/>
        <w:tblW w:w="10003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4"/>
        <w:gridCol w:w="918"/>
        <w:gridCol w:w="1212"/>
        <w:gridCol w:w="972"/>
        <w:gridCol w:w="2689"/>
        <w:gridCol w:w="267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534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空气质量指数AQI</w:t>
            </w:r>
          </w:p>
        </w:tc>
        <w:tc>
          <w:tcPr>
            <w:tcW w:w="918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空气质量级别</w:t>
            </w:r>
          </w:p>
        </w:tc>
        <w:tc>
          <w:tcPr>
            <w:tcW w:w="1212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质量状况</w:t>
            </w:r>
          </w:p>
        </w:tc>
        <w:tc>
          <w:tcPr>
            <w:tcW w:w="972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表征</w:t>
            </w:r>
          </w:p>
          <w:p>
            <w:pPr>
              <w:widowControl/>
              <w:spacing w:line="4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颜色</w:t>
            </w:r>
          </w:p>
        </w:tc>
        <w:tc>
          <w:tcPr>
            <w:tcW w:w="2689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对健康的影响</w:t>
            </w:r>
          </w:p>
        </w:tc>
        <w:tc>
          <w:tcPr>
            <w:tcW w:w="2678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</w:tcPr>
          <w:p>
            <w:pPr>
              <w:widowControl/>
              <w:spacing w:line="4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建议采取的措施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0～50</w:t>
            </w:r>
          </w:p>
        </w:tc>
        <w:tc>
          <w:tcPr>
            <w:tcW w:w="91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一级</w:t>
            </w:r>
          </w:p>
        </w:tc>
        <w:tc>
          <w:tcPr>
            <w:tcW w:w="121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优</w:t>
            </w: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绿色</w:t>
            </w:r>
          </w:p>
        </w:tc>
        <w:tc>
          <w:tcPr>
            <w:tcW w:w="2689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空气质量令人满意，基本无空气污染</w:t>
            </w: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各类人群可正常活动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51～100</w:t>
            </w:r>
          </w:p>
        </w:tc>
        <w:tc>
          <w:tcPr>
            <w:tcW w:w="91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二级</w:t>
            </w:r>
          </w:p>
        </w:tc>
        <w:tc>
          <w:tcPr>
            <w:tcW w:w="121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良</w:t>
            </w: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黄色</w:t>
            </w:r>
          </w:p>
        </w:tc>
        <w:tc>
          <w:tcPr>
            <w:tcW w:w="2689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空气质量可接受，但某些污染物可能对极少数异常敏感人群健康有较弱影响</w:t>
            </w: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较少数异常敏感人群应减少户外活动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101～150</w:t>
            </w:r>
          </w:p>
        </w:tc>
        <w:tc>
          <w:tcPr>
            <w:tcW w:w="91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三级</w:t>
            </w:r>
          </w:p>
        </w:tc>
        <w:tc>
          <w:tcPr>
            <w:tcW w:w="121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轻微污染</w:t>
            </w: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橙色</w:t>
            </w:r>
          </w:p>
        </w:tc>
        <w:tc>
          <w:tcPr>
            <w:tcW w:w="2689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敏感人群症状有轻度加剧，健康人群出现刺激症状</w:t>
            </w: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儿童、老年人及心脏病、呼吸系统疾病患者应减少长时间、高强度户外锻炼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151～200</w:t>
            </w:r>
          </w:p>
        </w:tc>
        <w:tc>
          <w:tcPr>
            <w:tcW w:w="91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 四级</w:t>
            </w:r>
          </w:p>
        </w:tc>
        <w:tc>
          <w:tcPr>
            <w:tcW w:w="121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中度污染</w:t>
            </w: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红色</w:t>
            </w:r>
          </w:p>
        </w:tc>
        <w:tc>
          <w:tcPr>
            <w:tcW w:w="2689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进一步加剧易感人群症状，可能对健康人群心脏、呼吸系统有影响</w:t>
            </w: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儿童、老年人及心脏病、呼吸系统疾病患者避免长时间、高强度户外锻炼，一般人群适量减少户外运动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201～300</w:t>
            </w:r>
          </w:p>
        </w:tc>
        <w:tc>
          <w:tcPr>
            <w:tcW w:w="91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五级</w:t>
            </w:r>
          </w:p>
        </w:tc>
        <w:tc>
          <w:tcPr>
            <w:tcW w:w="121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重度污染</w:t>
            </w: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紫色</w:t>
            </w:r>
          </w:p>
        </w:tc>
        <w:tc>
          <w:tcPr>
            <w:tcW w:w="2689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心脏病和肺病患者症状显著加剧，运动耐受力降低，健康人群普遍出现症状</w:t>
            </w: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儿童、老年人和心脏病、肺病患者应停留在室内，停止户外运动，一般人群减少户外运动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  <w:jc w:val="center"/>
        </w:trPr>
        <w:tc>
          <w:tcPr>
            <w:tcW w:w="1534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＞300</w:t>
            </w:r>
          </w:p>
        </w:tc>
        <w:tc>
          <w:tcPr>
            <w:tcW w:w="91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六级</w:t>
            </w:r>
          </w:p>
        </w:tc>
        <w:tc>
          <w:tcPr>
            <w:tcW w:w="121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严重污染</w:t>
            </w:r>
          </w:p>
        </w:tc>
        <w:tc>
          <w:tcPr>
            <w:tcW w:w="97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褐红色</w:t>
            </w:r>
          </w:p>
        </w:tc>
        <w:tc>
          <w:tcPr>
            <w:tcW w:w="268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健康人群运动耐受力降低，有明显强烈症状，提前出现某些疾病</w:t>
            </w:r>
          </w:p>
        </w:tc>
        <w:tc>
          <w:tcPr>
            <w:tcW w:w="267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before="100" w:after="100" w:line="30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儿童、老年人及病人应当留在室内，避免体力消耗，一般人群应避免户外运动</w:t>
            </w:r>
          </w:p>
        </w:tc>
      </w:tr>
    </w:tbl>
    <w:p>
      <w:pPr>
        <w:widowControl/>
        <w:shd w:val="clear" w:color="auto" w:fill="FFFFFF"/>
        <w:spacing w:before="72" w:after="72" w:line="520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2、水质评价项目及标准</w:t>
      </w:r>
    </w:p>
    <w:p>
      <w:pPr>
        <w:widowControl/>
        <w:shd w:val="clear" w:color="auto" w:fill="FFFFFF"/>
        <w:tabs>
          <w:tab w:val="left" w:pos="3081"/>
        </w:tabs>
        <w:spacing w:line="520" w:lineRule="atLeast"/>
        <w:ind w:firstLine="560"/>
        <w:jc w:val="left"/>
        <w:rPr>
          <w:rFonts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  <w:t>(1)</w:t>
      </w:r>
      <w:r>
        <w:rPr>
          <w:rFonts w:hint="eastAsia" w:ascii="宋体" w:hAnsi="宋体" w:eastAsia="宋体" w:cs="宋体"/>
          <w:b/>
          <w:color w:val="333333"/>
          <w:kern w:val="0"/>
          <w:szCs w:val="21"/>
          <w:shd w:val="clear" w:color="auto" w:fill="FFFFFF"/>
        </w:rPr>
        <w:t> </w:t>
      </w: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  <w:t>评价项目</w:t>
      </w: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  <w:tab/>
      </w:r>
    </w:p>
    <w:p>
      <w:pPr>
        <w:widowControl/>
        <w:shd w:val="clear" w:color="auto" w:fill="FFFFFF"/>
        <w:tabs>
          <w:tab w:val="left" w:pos="3081"/>
        </w:tabs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河流型地表水水质评价：《地表水环境质量标准》(GB3838-2002)表1所列除水温、总氮和粪大肠菌群以外的其他21项指标，粪大肠菌群单独评价。</w:t>
      </w:r>
    </w:p>
    <w:p>
      <w:pPr>
        <w:widowControl/>
        <w:shd w:val="clear" w:color="auto" w:fill="FFFFFF"/>
        <w:spacing w:line="520" w:lineRule="atLeast"/>
        <w:ind w:firstLine="551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饮用水水源地水质评价：依据《全国集中式生活饮用水水源地水质监测实施方案》（环办函[2012]1266号）的要求，集中式生活饮用水水源地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  <w:t>监测项目为《地表水环境质量标准》（GB3838-2002）表1的基本项目（23项，化学需氧量除外）、表2的补充项目（5项）和表3的优选特定项目（33项），共61项。评价项目为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《地表水环境质量标准》(GB3838-2002)表1和表2所列除水温、总氮和粪大肠菌群以外的其他指标，表3的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  <w:t>优选特定项目（33项），共58项。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湖泊评价：湖泊评价项目为《地表水环境质量标准》(GB3838-2002)表1除水温、总氮和粪大肠菌群以外的其他21项指标，另外用总磷、总氮、叶绿素a、高锰酸盐指数和透明度5项指标，用于评价营养状态。总氮和粪大肠菌群单独评价。</w:t>
      </w:r>
    </w:p>
    <w:p>
      <w:pPr>
        <w:widowControl/>
        <w:shd w:val="clear" w:color="auto" w:fill="FFFFFF"/>
        <w:spacing w:line="520" w:lineRule="atLeast"/>
        <w:ind w:firstLine="554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  <w:t> (2)</w:t>
      </w:r>
      <w:r>
        <w:rPr>
          <w:rFonts w:hint="eastAsia" w:ascii="宋体" w:hAnsi="宋体" w:eastAsia="宋体" w:cs="宋体"/>
          <w:b/>
          <w:color w:val="333333"/>
          <w:kern w:val="0"/>
          <w:szCs w:val="21"/>
          <w:shd w:val="clear" w:color="auto" w:fill="FFFFFF"/>
        </w:rPr>
        <w:t> </w:t>
      </w: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  <w:t>评价标准</w:t>
      </w:r>
    </w:p>
    <w:p>
      <w:pPr>
        <w:widowControl/>
        <w:shd w:val="clear" w:color="auto" w:fill="FFFFFF"/>
        <w:spacing w:line="520" w:lineRule="atLeast"/>
        <w:ind w:firstLine="551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从2012年6月开始，地表水水质评价不再执行《地表水环境质量标准（GB3838-2002）》中相应功能区标准，而按Ⅰ类～劣Ⅴ类六个类别进行评价。当断面水质超过Ⅲ类标准时，应计算指标浓度超过Ⅲ类水质标准的倍数，即超标倍数。</w:t>
      </w:r>
    </w:p>
    <w:p>
      <w:pPr>
        <w:widowControl/>
        <w:shd w:val="clear" w:color="auto" w:fill="FFFFFF"/>
        <w:spacing w:line="520" w:lineRule="atLeast"/>
        <w:ind w:firstLine="551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饮用水水源地水质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  <w:t>根据《地表水环境质量标准》（GB3838-2002）进行评价。基本项目按照《地表水环境质量评价方法（试行）》（环办[2011]22号）进行评价</w:t>
      </w: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。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  <w:shd w:val="clear" w:color="auto" w:fill="FFFFFF"/>
        </w:rPr>
        <w:t>补充项目、特定项目采用单因子评价法进行评价。</w:t>
      </w:r>
    </w:p>
    <w:p>
      <w:pPr>
        <w:widowControl/>
        <w:shd w:val="clear" w:color="auto" w:fill="FFFFFF"/>
        <w:spacing w:line="520" w:lineRule="atLeast"/>
        <w:ind w:firstLine="551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  <w:shd w:val="clear" w:color="auto" w:fill="FFFFFF"/>
        </w:rPr>
        <w:t> </w:t>
      </w:r>
    </w:p>
    <w:p>
      <w:pPr>
        <w:widowControl/>
        <w:shd w:val="clear" w:color="auto" w:fill="FFFFFF"/>
        <w:spacing w:before="72" w:after="72" w:line="520" w:lineRule="atLeast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3、水环境质量定性评价方法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  <w:t>(1) 地表水环境质量定性评价方法</w:t>
      </w:r>
    </w:p>
    <w:p>
      <w:pPr>
        <w:widowControl/>
        <w:shd w:val="clear" w:color="auto" w:fill="FFFFFF"/>
        <w:spacing w:line="520" w:lineRule="atLeast"/>
        <w:ind w:firstLine="551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地表水环境质量分为：优、良好、轻度污染、中度污染、重度污染五个等级。</w:t>
      </w:r>
    </w:p>
    <w:p>
      <w:pPr>
        <w:widowControl/>
        <w:shd w:val="clear" w:color="auto" w:fill="FFFFFF"/>
        <w:spacing w:line="520" w:lineRule="atLeast"/>
        <w:ind w:firstLine="551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断面、河段水质类别与水质定性评价分级的对应关系见附表1。</w:t>
      </w:r>
    </w:p>
    <w:p>
      <w:pPr>
        <w:widowControl/>
        <w:shd w:val="clear" w:color="auto" w:fill="FFFFFF"/>
        <w:spacing w:line="520" w:lineRule="atLeast"/>
        <w:ind w:firstLine="551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Cs w:val="21"/>
          <w:shd w:val="clear" w:color="auto" w:fill="FFFFFF"/>
        </w:rPr>
        <w:t> </w:t>
      </w:r>
    </w:p>
    <w:p>
      <w:pPr>
        <w:widowControl/>
        <w:shd w:val="clear" w:color="auto" w:fill="FFFFFF"/>
        <w:spacing w:line="520" w:lineRule="atLeast"/>
        <w:jc w:val="center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24"/>
          <w:shd w:val="clear" w:color="auto" w:fill="FFFFFF"/>
        </w:rPr>
        <w:t>附表1  断面、河段水质定性评价</w:t>
      </w:r>
    </w:p>
    <w:tbl>
      <w:tblPr>
        <w:tblStyle w:val="2"/>
        <w:tblW w:w="7582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8"/>
        <w:gridCol w:w="1237"/>
        <w:gridCol w:w="4727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8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00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水质类别</w:t>
            </w:r>
          </w:p>
        </w:tc>
        <w:tc>
          <w:tcPr>
            <w:tcW w:w="1237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00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水质状况</w:t>
            </w:r>
          </w:p>
        </w:tc>
        <w:tc>
          <w:tcPr>
            <w:tcW w:w="4727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00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Cs w:val="21"/>
              </w:rPr>
              <w:t>水质功能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8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Ⅰ、Ⅱ类水质</w:t>
            </w: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优</w:t>
            </w:r>
          </w:p>
        </w:tc>
        <w:tc>
          <w:tcPr>
            <w:tcW w:w="472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饮用水源一级保护区、珍稀水生生物栖息地、鱼虾类产卵场、仔稚幼鱼的索饵场等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8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Ⅲ类水质</w:t>
            </w: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良好</w:t>
            </w:r>
          </w:p>
        </w:tc>
        <w:tc>
          <w:tcPr>
            <w:tcW w:w="472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饮用水源二级保护区、鱼虾类越冬场、洄游通道、水产养殖区、游泳区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8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Ⅳ类水质</w:t>
            </w: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轻度污染</w:t>
            </w:r>
          </w:p>
        </w:tc>
        <w:tc>
          <w:tcPr>
            <w:tcW w:w="472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一般工业用水和人体非直接接触的娱乐用水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8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Ⅴ类水质</w:t>
            </w: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中度污染</w:t>
            </w:r>
          </w:p>
        </w:tc>
        <w:tc>
          <w:tcPr>
            <w:tcW w:w="4727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农业用水及一般景观用水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8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劣Ⅴ类水质</w:t>
            </w:r>
          </w:p>
        </w:tc>
        <w:tc>
          <w:tcPr>
            <w:tcW w:w="123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重度污染</w:t>
            </w:r>
          </w:p>
        </w:tc>
        <w:tc>
          <w:tcPr>
            <w:tcW w:w="472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除调节局部气候外，几乎无使用功能</w:t>
            </w:r>
          </w:p>
        </w:tc>
      </w:tr>
    </w:tbl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河流、水系水质类别比例与水质定性评价分级的对应关系见附表2。对于断面数少于5个的河流、水系，按附表1直接指出每个断面的水质状况。</w:t>
      </w:r>
    </w:p>
    <w:p>
      <w:pPr>
        <w:widowControl/>
        <w:shd w:val="clear" w:color="auto" w:fill="FFFFFF"/>
        <w:spacing w:line="520" w:lineRule="atLeast"/>
        <w:ind w:firstLine="48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Cs w:val="21"/>
          <w:shd w:val="clear" w:color="auto" w:fill="FFFFFF"/>
        </w:rPr>
        <w:t> </w:t>
      </w:r>
    </w:p>
    <w:p>
      <w:pPr>
        <w:widowControl/>
        <w:shd w:val="clear" w:color="auto" w:fill="FFFFFF"/>
        <w:spacing w:line="540" w:lineRule="atLeast"/>
        <w:jc w:val="center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24"/>
          <w:shd w:val="clear" w:color="auto" w:fill="FFFFFF"/>
        </w:rPr>
        <w:t>附表2  河流、水系水质定性评价</w:t>
      </w:r>
    </w:p>
    <w:tbl>
      <w:tblPr>
        <w:tblStyle w:val="2"/>
        <w:tblW w:w="7337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93"/>
        <w:gridCol w:w="1344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93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00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水质类别比例</w:t>
            </w:r>
          </w:p>
        </w:tc>
        <w:tc>
          <w:tcPr>
            <w:tcW w:w="1344" w:type="dxa"/>
            <w:tcBorders>
              <w:top w:val="single" w:color="auto" w:sz="12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00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olor w:val="333333"/>
                <w:kern w:val="0"/>
                <w:szCs w:val="21"/>
              </w:rPr>
              <w:t>水质状况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93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Ⅰ～Ⅲ类水质比例≥90%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93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75%≤Ⅰ～Ⅲ类水质比例＜90%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良好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93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Ⅰ～Ⅲ类水质比例＜75%，且劣Ⅴ类比例＜20%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轻度污染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93" w:type="dxa"/>
            <w:tcBorders>
              <w:top w:val="single" w:color="auto" w:sz="6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Ⅰ～Ⅲ类水质比例＜75%，且20%≤劣Ⅴ类比例＜40%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8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中度污染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993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8" w:space="0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left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Ⅰ～Ⅲ类水质比例＜60%，且劣Ⅴ类比例≥40%</w:t>
            </w:r>
          </w:p>
        </w:tc>
        <w:tc>
          <w:tcPr>
            <w:tcW w:w="134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nil"/>
            </w:tcBorders>
            <w:shd w:val="clear" w:color="auto" w:fill="CCFFFF"/>
            <w:tcMar>
              <w:left w:w="108" w:type="dxa"/>
              <w:right w:w="108" w:type="dxa"/>
            </w:tcMar>
          </w:tcPr>
          <w:p>
            <w:pPr>
              <w:widowControl/>
              <w:spacing w:line="420" w:lineRule="atLeast"/>
              <w:jc w:val="center"/>
              <w:rPr>
                <w:rFonts w:ascii="宋体" w:hAnsi="宋体" w:eastAsia="宋体" w:cs="宋体"/>
                <w:color w:val="333333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Cs w:val="21"/>
              </w:rPr>
              <w:t>重度污染</w:t>
            </w:r>
          </w:p>
        </w:tc>
      </w:tr>
    </w:tbl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地表水环境质量定性评价方法执行中国环境监测总站（总站综字[2004]72号）文件。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28"/>
          <w:szCs w:val="28"/>
          <w:shd w:val="clear" w:color="auto" w:fill="FFFFFF"/>
        </w:rPr>
        <w:t> (2) 湖泊、水库富营养化评价方法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根据营养状态指数（TLI）的计算结果对湖泊营养状态进行分级如下：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TLI（Σ）＜30贫营养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30≤TLI（Σ）≤50中营养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TLI（Σ）＞50富营养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50＜TLI（Σ）≤60轻度富营养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60＜TLI（Σ）≤70中度富营养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TLI（Σ）＞70重度富营养</w:t>
      </w:r>
    </w:p>
    <w:p>
      <w:pPr>
        <w:widowControl/>
        <w:shd w:val="clear" w:color="auto" w:fill="FFFFFF"/>
        <w:spacing w:line="520" w:lineRule="atLeast"/>
        <w:ind w:firstLine="56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color w:val="333333"/>
          <w:kern w:val="0"/>
          <w:sz w:val="28"/>
          <w:szCs w:val="28"/>
          <w:shd w:val="clear" w:color="auto" w:fill="FFFFFF"/>
        </w:rPr>
        <w:t>营养状态指数的计算方法见中国环境监测总站（总站生字[2001]090号）文件。</w:t>
      </w:r>
    </w:p>
    <w:p>
      <w:pPr>
        <w:widowControl/>
        <w:shd w:val="clear" w:color="auto" w:fill="FFFFFF"/>
        <w:spacing w:before="120" w:after="120" w:line="300" w:lineRule="atLeast"/>
        <w:ind w:right="-176"/>
        <w:jc w:val="left"/>
        <w:rPr>
          <w:rFonts w:ascii="宋体" w:hAnsi="宋体" w:eastAsia="宋体" w:cs="宋体"/>
          <w:color w:val="333333"/>
          <w:kern w:val="0"/>
          <w:szCs w:val="21"/>
          <w:shd w:val="clear" w:color="auto" w:fill="FFFFFF"/>
        </w:rPr>
      </w:pPr>
      <w:r>
        <w:rPr>
          <w:rFonts w:hint="eastAsia" w:ascii="宋体" w:hAnsi="宋体" w:eastAsia="宋体" w:cs="宋体"/>
          <w:color w:val="333333"/>
          <w:kern w:val="0"/>
          <w:szCs w:val="21"/>
          <w:shd w:val="clear" w:color="auto" w:fill="FFFFFF"/>
        </w:rPr>
        <w:t> </w:t>
      </w:r>
    </w:p>
    <w:p>
      <w:pPr>
        <w:widowControl/>
        <w:shd w:val="clear" w:color="auto" w:fill="FFFFFF"/>
        <w:spacing w:before="120" w:after="120" w:line="300" w:lineRule="atLeast"/>
        <w:ind w:right="-176"/>
        <w:jc w:val="left"/>
        <w:rPr>
          <w:rFonts w:ascii="宋体" w:hAnsi="宋体" w:eastAsia="宋体" w:cs="宋体"/>
          <w:color w:val="333333"/>
          <w:kern w:val="0"/>
          <w:szCs w:val="21"/>
          <w:shd w:val="clear" w:color="auto" w:fill="FFFFFF"/>
        </w:rPr>
      </w:pPr>
    </w:p>
    <w:p>
      <w:pPr>
        <w:widowControl/>
        <w:shd w:val="clear" w:color="auto" w:fill="FFFFFF"/>
        <w:spacing w:before="120" w:after="120" w:line="300" w:lineRule="atLeast"/>
        <w:ind w:right="-176"/>
        <w:jc w:val="left"/>
        <w:rPr>
          <w:rFonts w:ascii="宋体" w:hAnsi="宋体" w:eastAsia="宋体" w:cs="宋体"/>
          <w:color w:val="333333"/>
          <w:kern w:val="0"/>
          <w:szCs w:val="21"/>
          <w:shd w:val="clear" w:color="auto" w:fill="FFFFFF"/>
        </w:rPr>
      </w:pPr>
    </w:p>
    <w:p>
      <w:pPr>
        <w:widowControl/>
        <w:shd w:val="clear" w:color="auto" w:fill="FFFFFF"/>
        <w:spacing w:before="120" w:after="120" w:line="300" w:lineRule="atLeast"/>
        <w:ind w:right="-176"/>
        <w:jc w:val="left"/>
        <w:rPr>
          <w:rFonts w:ascii="宋体" w:hAnsi="宋体" w:eastAsia="宋体" w:cs="宋体"/>
          <w:color w:val="333333"/>
          <w:kern w:val="0"/>
          <w:szCs w:val="21"/>
          <w:shd w:val="clear" w:color="auto" w:fill="FFFFFF"/>
        </w:rPr>
      </w:pPr>
    </w:p>
    <w:p>
      <w:pPr>
        <w:widowControl/>
        <w:shd w:val="clear" w:color="auto" w:fill="FFFFFF"/>
        <w:spacing w:before="120" w:after="120" w:line="300" w:lineRule="atLeast"/>
        <w:ind w:right="-176"/>
        <w:jc w:val="left"/>
        <w:rPr>
          <w:rFonts w:ascii="宋体" w:hAnsi="宋体" w:eastAsia="宋体" w:cs="宋体"/>
          <w:color w:val="333333"/>
          <w:kern w:val="0"/>
          <w:szCs w:val="21"/>
          <w:shd w:val="clear" w:color="auto" w:fill="FFFFFF"/>
        </w:rPr>
      </w:pPr>
    </w:p>
    <w:p>
      <w:pPr>
        <w:widowControl/>
        <w:shd w:val="clear" w:color="auto" w:fill="FFFFFF"/>
        <w:spacing w:before="120" w:after="120" w:line="300" w:lineRule="atLeast"/>
        <w:ind w:right="-176"/>
        <w:jc w:val="left"/>
        <w:rPr>
          <w:rFonts w:ascii="宋体" w:hAnsi="宋体" w:eastAsia="宋体" w:cs="宋体"/>
          <w:color w:val="333333"/>
          <w:kern w:val="0"/>
          <w:szCs w:val="21"/>
          <w:shd w:val="clear" w:color="auto" w:fill="FFFFFF"/>
        </w:rPr>
      </w:pPr>
    </w:p>
    <w:p>
      <w:pPr>
        <w:widowControl/>
        <w:shd w:val="clear" w:color="auto" w:fill="FFFFFF"/>
        <w:spacing w:before="120" w:after="120" w:line="300" w:lineRule="atLeast"/>
        <w:ind w:right="-176"/>
        <w:jc w:val="left"/>
        <w:rPr>
          <w:rFonts w:ascii="宋体" w:hAnsi="宋体" w:eastAsia="宋体" w:cs="宋体"/>
          <w:color w:val="333333"/>
          <w:kern w:val="0"/>
          <w:szCs w:val="21"/>
          <w:shd w:val="clear" w:color="auto" w:fill="FFFFFF"/>
        </w:rPr>
      </w:pPr>
    </w:p>
    <w:p>
      <w:pPr>
        <w:widowControl/>
        <w:shd w:val="clear" w:color="auto" w:fill="FFFFFF"/>
        <w:spacing w:line="600" w:lineRule="atLeast"/>
        <w:ind w:firstLine="15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编　　写：戴菲　</w:t>
      </w:r>
    </w:p>
    <w:p>
      <w:pPr>
        <w:widowControl/>
        <w:shd w:val="clear" w:color="auto" w:fill="FFFFFF"/>
        <w:spacing w:line="600" w:lineRule="atLeast"/>
        <w:ind w:firstLine="15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审　　核：何豪　　　　</w:t>
      </w:r>
    </w:p>
    <w:p>
      <w:pPr>
        <w:widowControl/>
        <w:shd w:val="clear" w:color="auto" w:fill="FFFFFF"/>
        <w:spacing w:line="600" w:lineRule="atLeast"/>
        <w:ind w:firstLine="15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签　　发：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  <w:lang w:eastAsia="zh-CN"/>
        </w:rPr>
        <w:t>陈春霞</w:t>
      </w:r>
      <w:r>
        <w:rPr>
          <w:rFonts w:hint="eastAsia" w:ascii="宋体" w:hAnsi="宋体" w:eastAsia="宋体" w:cs="宋体"/>
          <w:color w:val="333333"/>
          <w:kern w:val="0"/>
          <w:sz w:val="30"/>
          <w:szCs w:val="30"/>
          <w:shd w:val="clear" w:color="auto" w:fill="FFFFFF"/>
        </w:rPr>
        <w:t>　　　　</w:t>
      </w:r>
    </w:p>
    <w:p>
      <w:pPr>
        <w:widowControl/>
        <w:shd w:val="clear" w:color="auto" w:fill="FFFFFF"/>
        <w:spacing w:line="600" w:lineRule="atLeast"/>
        <w:ind w:firstLine="150"/>
        <w:jc w:val="left"/>
        <w:rPr>
          <w:rFonts w:ascii="宋体" w:hAnsi="宋体" w:eastAsia="宋体" w:cs="宋体"/>
          <w:color w:val="333333"/>
          <w:szCs w:val="21"/>
        </w:rPr>
      </w:pP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编写日期：20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  <w:lang w:val="en-US" w:eastAsia="zh-CN"/>
        </w:rPr>
        <w:t>22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年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  <w:lang w:val="en-US" w:eastAsia="zh-CN"/>
        </w:rPr>
        <w:t>12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月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  <w:lang w:val="en-US" w:eastAsia="zh-CN"/>
        </w:rPr>
        <w:t>20</w:t>
      </w:r>
      <w:r>
        <w:rPr>
          <w:rFonts w:hint="eastAsia" w:ascii="宋体" w:hAnsi="宋体" w:eastAsia="宋体" w:cs="宋体"/>
          <w:b/>
          <w:color w:val="333333"/>
          <w:kern w:val="0"/>
          <w:sz w:val="30"/>
          <w:szCs w:val="30"/>
          <w:shd w:val="clear" w:color="auto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5YmYzZDNjZjc2NTMzM2Q1ZDlmMTA0NWE5OWIzZDIifQ=="/>
  </w:docVars>
  <w:rsids>
    <w:rsidRoot w:val="0DA0368D"/>
    <w:rsid w:val="0896699E"/>
    <w:rsid w:val="0DA0368D"/>
    <w:rsid w:val="3B7A5A8D"/>
    <w:rsid w:val="5AA9611F"/>
    <w:rsid w:val="63304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2603</Words>
  <Characters>3049</Characters>
  <Lines>0</Lines>
  <Paragraphs>0</Paragraphs>
  <TotalTime>1</TotalTime>
  <ScaleCrop>false</ScaleCrop>
  <LinksUpToDate>false</LinksUpToDate>
  <CharactersWithSpaces>3123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2023-03-30T02:55:00Z</dcterms:created>
  <dc:creator>戴菲</dc:creator>
  <cp:lastModifiedBy>戴菲</cp:lastModifiedBy>
  <dcterms:modified xsi:type="dcterms:W3CDTF">2023-03-30T03:03:22Z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CD6EAF2143EB43209D5B6AAC3DD29AEB</vt:lpwstr>
  </property>
</Properties>
</file>