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03FDF">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2" w:leftChars="-100" w:right="0" w:hanging="318" w:hangingChars="72"/>
        <w:jc w:val="center"/>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宋体" w:hAnsi="宋体" w:eastAsia="宋体" w:cs="宋体"/>
          <w:b/>
          <w:bCs/>
          <w:i w:val="0"/>
          <w:iCs w:val="0"/>
          <w:caps w:val="0"/>
          <w:color w:val="000000"/>
          <w:spacing w:val="0"/>
          <w:kern w:val="0"/>
          <w:sz w:val="44"/>
          <w:szCs w:val="44"/>
          <w:lang w:val="en-US" w:eastAsia="zh-CN" w:bidi="ar"/>
        </w:rPr>
        <w:t>县信访局2025年政府信息公开工作年度报告  </w:t>
      </w:r>
    </w:p>
    <w:p w14:paraId="5966D568">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 xml:space="preserve"> 根据《中华人民共</w:t>
      </w:r>
      <w:bookmarkStart w:id="0" w:name="_GoBack"/>
      <w:bookmarkEnd w:id="0"/>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和国政府信息公开条例》（国务院令711号，以下简称《条例》）的规定和《国务院办公厅政府信息与政务公开办公室关于印发&lt;中华人民共和国政府信息公开工作年度报告格式&gt;的通知》（国办公开办函﹝2021﹞30号）等文件要求，编制城步苗族自治县信访局2025年政府信息公开工作年度报告。</w:t>
      </w:r>
    </w:p>
    <w:p w14:paraId="5A6B5220">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 xml:space="preserve">本年度报告中所列数据统计期限从2025年1月1日至2025年12月31日止。如对本年度报告有疑问，请与城步苗族自治县信访局联系（电话：0739-7361232）。 </w:t>
      </w:r>
    </w:p>
    <w:p w14:paraId="4344226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both"/>
        <w:rPr>
          <w:rFonts w:hint="eastAsia" w:ascii="黑体" w:hAnsi="黑体" w:eastAsia="黑体" w:cs="黑体"/>
          <w:i w:val="0"/>
          <w:iCs w:val="0"/>
          <w:caps w:val="0"/>
          <w:color w:val="000000"/>
          <w:spacing w:val="0"/>
          <w:kern w:val="0"/>
          <w:sz w:val="32"/>
          <w:szCs w:val="32"/>
          <w:lang w:val="en-US" w:eastAsia="zh-CN" w:bidi="ar"/>
        </w:rPr>
      </w:pPr>
      <w:r>
        <w:rPr>
          <w:rFonts w:hint="eastAsia" w:ascii="黑体" w:hAnsi="黑体" w:eastAsia="黑体" w:cs="黑体"/>
          <w:i w:val="0"/>
          <w:iCs w:val="0"/>
          <w:caps w:val="0"/>
          <w:color w:val="000000"/>
          <w:spacing w:val="0"/>
          <w:kern w:val="0"/>
          <w:sz w:val="32"/>
          <w:szCs w:val="32"/>
          <w:lang w:val="en-US" w:eastAsia="zh-CN" w:bidi="ar"/>
        </w:rPr>
        <w:t xml:space="preserve">总体情况 </w:t>
      </w:r>
    </w:p>
    <w:p w14:paraId="0A41DDB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0" w:firstLineChars="200"/>
        <w:jc w:val="both"/>
        <w:rPr>
          <w:rFonts w:hint="default"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2025年，城步苗族自治县信访局坚持以习近平新时代中国特色社会主义思想为指导，认真贯彻落实《条例》，按照县委、县政府统一部署，紧密结合信访工作实际，认真做好政府信息公开各项工作。及时公开内设机构设置、职能设置、领导信息、工作动态等具体行政行为情况及其他应主动公开的信息。依托政务网、城步信访微信公众号等平台，发散式、多渠道发布政务信息。</w:t>
      </w:r>
    </w:p>
    <w:p w14:paraId="161D393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3" w:firstLineChars="20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t xml:space="preserve">（一）主动公开方面 </w:t>
      </w:r>
    </w:p>
    <w:p w14:paraId="2837C40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0" w:firstLineChars="20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2025年度，我局对照《条例》和国、省、市年度政务公开工作要点，切实加强主动公开，更新发布了职能配置、领导信息、工作动态、财政预决算等政府信息，在县政府网站集约化平台共发布政府信息13条。</w:t>
      </w:r>
    </w:p>
    <w:p w14:paraId="7D08D1C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800" w:leftChars="0" w:right="0" w:rightChars="0" w:firstLine="0" w:firstLineChars="0"/>
        <w:jc w:val="both"/>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t xml:space="preserve">依申请公开方面 </w:t>
      </w:r>
    </w:p>
    <w:p w14:paraId="3931880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0" w:firstLineChars="20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 xml:space="preserve">认真落实《条例》对依申请公开办理的相关要求，确保全部政府信息公开申请按法定程序、法定时限规范答复。2025年我局没有收到依申请公开件，上年度结转办理件0件。 </w:t>
      </w:r>
    </w:p>
    <w:p w14:paraId="381A5CC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800" w:leftChars="0" w:right="0" w:rightChars="0" w:firstLine="0" w:firstLineChars="0"/>
        <w:jc w:val="both"/>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t xml:space="preserve">回应群众关切方面 </w:t>
      </w:r>
    </w:p>
    <w:p w14:paraId="43B76D7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0" w:firstLineChars="20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 xml:space="preserve">积极回应群众关切。2025年，12345热线等没有接到关于信访方面的群众来访来电。收到市长信箱转办群众来信1件，咨询内容非本单位信访业务工作范畴。我单位及时予以回应，按时答复到位。 </w:t>
      </w:r>
    </w:p>
    <w:p w14:paraId="1843165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800" w:leftChars="0" w:right="0" w:rightChars="0" w:firstLine="0" w:firstLineChars="0"/>
        <w:jc w:val="both"/>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t xml:space="preserve">政府信息管理方面 </w:t>
      </w:r>
    </w:p>
    <w:p w14:paraId="74B9A7E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0" w:firstLineChars="20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加强信访法律法规宣传，在政府门户网站集中统一公开《信访工作条例》、《卫生信访工作办法》等规范性文件，方便群众查询。加强信访事项办理公示，依托县人民政府门户网找“阳光信访”平台，及时更新涉及民生、群众关切的信访事项办理结果。</w:t>
      </w:r>
    </w:p>
    <w:p w14:paraId="009DD54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800" w:leftChars="0" w:right="0" w:rightChars="0" w:firstLine="0" w:firstLineChars="0"/>
        <w:jc w:val="both"/>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t xml:space="preserve">平台建设方面 </w:t>
      </w:r>
    </w:p>
    <w:p w14:paraId="4170B4F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0" w:firstLineChars="200"/>
        <w:jc w:val="both"/>
        <w:rPr>
          <w:rFonts w:hint="default"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充分发挥政府网站第一公开平台作用，规范建设政府信息公开专栏，加强法定主动公开内容的集中发布。积极运用政府网站集约化试点成果，对政府信息汇聚、整合、共享、共用，增强智能化服务水平。加强“城步信访微信公众号”动态更新，严格把关发布内容。</w:t>
      </w:r>
    </w:p>
    <w:p w14:paraId="57329EE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800" w:leftChars="0" w:right="0" w:rightChars="0" w:firstLine="0" w:firstLineChars="0"/>
        <w:jc w:val="both"/>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lang w:val="en-US" w:eastAsia="zh-CN" w:bidi="ar"/>
        </w:rPr>
        <w:t xml:space="preserve">监督保障方面 </w:t>
      </w:r>
    </w:p>
    <w:p w14:paraId="4EA402D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0" w:firstLineChars="20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 xml:space="preserve">把政务公开工作纳入绩效考核，定期对政府网站情况进行情况通报。 </w:t>
      </w:r>
    </w:p>
    <w:p w14:paraId="1DB09E8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both"/>
        <w:rPr>
          <w:rFonts w:hint="eastAsia" w:ascii="黑体" w:hAnsi="黑体" w:eastAsia="黑体" w:cs="黑体"/>
          <w:i w:val="0"/>
          <w:iCs w:val="0"/>
          <w:caps w:val="0"/>
          <w:color w:val="000000"/>
          <w:spacing w:val="0"/>
          <w:kern w:val="0"/>
          <w:sz w:val="32"/>
          <w:szCs w:val="32"/>
          <w:lang w:val="en-US" w:eastAsia="zh-CN" w:bidi="ar"/>
        </w:rPr>
      </w:pPr>
      <w:r>
        <w:rPr>
          <w:rFonts w:hint="eastAsia" w:ascii="黑体" w:hAnsi="黑体" w:eastAsia="黑体" w:cs="黑体"/>
          <w:i w:val="0"/>
          <w:iCs w:val="0"/>
          <w:caps w:val="0"/>
          <w:color w:val="000000"/>
          <w:spacing w:val="0"/>
          <w:kern w:val="0"/>
          <w:sz w:val="32"/>
          <w:szCs w:val="32"/>
          <w:lang w:val="en-US" w:eastAsia="zh-CN" w:bidi="ar"/>
        </w:rPr>
        <w:t xml:space="preserve">主动公开政府信息情况 </w:t>
      </w:r>
    </w:p>
    <w:p w14:paraId="2B3F83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firstLine="420"/>
        <w:jc w:val="center"/>
        <w:rPr>
          <w:rFonts w:hint="eastAsia" w:ascii="宋体" w:hAnsi="宋体" w:eastAsia="宋体" w:cs="宋体"/>
        </w:rPr>
      </w:pPr>
    </w:p>
    <w:tbl>
      <w:tblPr>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435"/>
        <w:gridCol w:w="2435"/>
        <w:gridCol w:w="2435"/>
        <w:gridCol w:w="2435"/>
      </w:tblGrid>
      <w:tr w14:paraId="11F10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18D7C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第二十条第（一）项</w:t>
            </w:r>
          </w:p>
        </w:tc>
      </w:tr>
      <w:tr w14:paraId="7F1DA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59264A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信息内容</w:t>
            </w:r>
          </w:p>
        </w:tc>
        <w:tc>
          <w:tcPr>
            <w:tcW w:w="2435"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1613A2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本年</w:t>
            </w:r>
            <w:r>
              <w:rPr>
                <w:rFonts w:hint="eastAsia" w:ascii="宋体" w:hAnsi="宋体" w:eastAsia="宋体" w:cs="宋体"/>
                <w:kern w:val="0"/>
                <w:sz w:val="20"/>
                <w:szCs w:val="20"/>
                <w:bdr w:val="none" w:color="auto" w:sz="0" w:space="0"/>
                <w:lang w:val="en-US" w:eastAsia="zh-CN" w:bidi="ar"/>
              </w:rPr>
              <w:t>制发件数</w:t>
            </w:r>
          </w:p>
        </w:tc>
        <w:tc>
          <w:tcPr>
            <w:tcW w:w="2435"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5035E3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58B30A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现行有效件</w:t>
            </w:r>
            <w:r>
              <w:rPr>
                <w:rFonts w:hint="eastAsia" w:ascii="宋体" w:hAnsi="宋体" w:eastAsia="宋体" w:cs="宋体"/>
                <w:kern w:val="0"/>
                <w:sz w:val="20"/>
                <w:szCs w:val="20"/>
                <w:bdr w:val="none" w:color="auto" w:sz="0" w:space="0"/>
                <w:lang w:val="en-US" w:eastAsia="zh-CN" w:bidi="ar"/>
              </w:rPr>
              <w:t>数</w:t>
            </w:r>
          </w:p>
        </w:tc>
      </w:tr>
      <w:tr w14:paraId="72CF6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63BE40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规章</w:t>
            </w:r>
          </w:p>
        </w:tc>
        <w:tc>
          <w:tcPr>
            <w:tcW w:w="243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4B245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bdr w:val="none" w:color="auto" w:sz="0" w:space="0"/>
                <w:lang w:val="en-US" w:eastAsia="zh-CN" w:bidi="ar"/>
              </w:rPr>
              <w:t>　　0</w:t>
            </w:r>
          </w:p>
        </w:tc>
        <w:tc>
          <w:tcPr>
            <w:tcW w:w="243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6C206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bdr w:val="none" w:color="auto" w:sz="0" w:space="0"/>
                <w:lang w:val="en-US" w:eastAsia="zh-CN" w:bidi="ar"/>
              </w:rPr>
              <w:t>　0</w:t>
            </w:r>
          </w:p>
        </w:tc>
        <w:tc>
          <w:tcPr>
            <w:tcW w:w="243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D0DCC5F">
            <w:pPr>
              <w:rPr>
                <w:rFonts w:hint="eastAsia" w:ascii="宋体" w:eastAsia="宋体"/>
                <w:sz w:val="24"/>
                <w:szCs w:val="24"/>
                <w:lang w:val="en-US" w:eastAsia="zh-CN"/>
              </w:rPr>
            </w:pPr>
            <w:r>
              <w:rPr>
                <w:rFonts w:hint="eastAsia" w:ascii="宋体"/>
                <w:sz w:val="24"/>
                <w:szCs w:val="24"/>
                <w:lang w:val="en-US" w:eastAsia="zh-CN"/>
              </w:rPr>
              <w:t>0</w:t>
            </w:r>
          </w:p>
        </w:tc>
      </w:tr>
      <w:tr w14:paraId="5D37B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4D2768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行政规范性文件</w:t>
            </w:r>
          </w:p>
        </w:tc>
        <w:tc>
          <w:tcPr>
            <w:tcW w:w="243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22EF7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bdr w:val="none" w:color="auto" w:sz="0" w:space="0"/>
                <w:lang w:val="en-US" w:eastAsia="zh-CN" w:bidi="ar"/>
              </w:rPr>
              <w:t>　　0</w:t>
            </w:r>
          </w:p>
        </w:tc>
        <w:tc>
          <w:tcPr>
            <w:tcW w:w="243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5E443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bdr w:val="none" w:color="auto" w:sz="0" w:space="0"/>
                <w:lang w:val="en-US" w:eastAsia="zh-CN" w:bidi="ar"/>
              </w:rPr>
              <w:t>　0</w:t>
            </w:r>
          </w:p>
        </w:tc>
        <w:tc>
          <w:tcPr>
            <w:tcW w:w="2435"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DB47AD0">
            <w:pPr>
              <w:rPr>
                <w:rFonts w:hint="eastAsia" w:ascii="宋体" w:eastAsia="宋体"/>
                <w:sz w:val="24"/>
                <w:szCs w:val="24"/>
                <w:lang w:val="en-US" w:eastAsia="zh-CN"/>
              </w:rPr>
            </w:pPr>
            <w:r>
              <w:rPr>
                <w:rFonts w:hint="eastAsia" w:ascii="宋体"/>
                <w:sz w:val="24"/>
                <w:szCs w:val="24"/>
                <w:lang w:val="en-US" w:eastAsia="zh-CN"/>
              </w:rPr>
              <w:t>0</w:t>
            </w:r>
          </w:p>
        </w:tc>
      </w:tr>
      <w:tr w14:paraId="28C21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6B1E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第二十条第（五）项</w:t>
            </w:r>
          </w:p>
        </w:tc>
      </w:tr>
      <w:tr w14:paraId="17F1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0F2196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信息内容</w:t>
            </w:r>
          </w:p>
        </w:tc>
        <w:tc>
          <w:tcPr>
            <w:tcW w:w="7305" w:type="dxa"/>
            <w:gridSpan w:val="3"/>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C04AF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本年处理决定数量</w:t>
            </w:r>
          </w:p>
        </w:tc>
      </w:tr>
      <w:tr w14:paraId="26FFB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0AA7E2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行政许可</w:t>
            </w:r>
          </w:p>
        </w:tc>
        <w:tc>
          <w:tcPr>
            <w:tcW w:w="7305" w:type="dxa"/>
            <w:gridSpan w:val="3"/>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43D97C44">
            <w:pPr>
              <w:rPr>
                <w:rFonts w:hint="eastAsia" w:ascii="宋体" w:eastAsia="宋体"/>
                <w:sz w:val="24"/>
                <w:szCs w:val="24"/>
                <w:lang w:val="en-US" w:eastAsia="zh-CN"/>
              </w:rPr>
            </w:pPr>
            <w:r>
              <w:rPr>
                <w:rFonts w:hint="eastAsia" w:ascii="宋体"/>
                <w:sz w:val="24"/>
                <w:szCs w:val="24"/>
                <w:lang w:val="en-US" w:eastAsia="zh-CN"/>
              </w:rPr>
              <w:t>0</w:t>
            </w:r>
          </w:p>
        </w:tc>
      </w:tr>
      <w:tr w14:paraId="3EBB7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CC7CB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第二十条第（六）项</w:t>
            </w:r>
          </w:p>
        </w:tc>
      </w:tr>
      <w:tr w14:paraId="44C72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595663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bdr w:val="none" w:color="auto" w:sz="0" w:space="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tcMar>
              <w:top w:w="0" w:type="dxa"/>
              <w:left w:w="57" w:type="dxa"/>
              <w:bottom w:w="0" w:type="dxa"/>
              <w:right w:w="57" w:type="dxa"/>
            </w:tcMar>
            <w:vAlign w:val="center"/>
          </w:tcPr>
          <w:p w14:paraId="7BB748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bdr w:val="none" w:color="auto" w:sz="0" w:space="0"/>
                <w:lang w:val="en-US" w:eastAsia="zh-CN" w:bidi="ar"/>
              </w:rPr>
              <w:t>本年处理决定数量</w:t>
            </w:r>
          </w:p>
        </w:tc>
      </w:tr>
      <w:tr w14:paraId="473C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1107B2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行政处罚</w:t>
            </w:r>
          </w:p>
        </w:tc>
        <w:tc>
          <w:tcPr>
            <w:tcW w:w="7305" w:type="dxa"/>
            <w:gridSpan w:val="3"/>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5CB2A2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bdr w:val="none" w:color="auto" w:sz="0" w:space="0"/>
                <w:lang w:val="en-US" w:eastAsia="zh-CN" w:bidi="ar"/>
              </w:rPr>
              <w:t>　0</w:t>
            </w:r>
          </w:p>
        </w:tc>
      </w:tr>
      <w:tr w14:paraId="5142A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14693D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行政强制</w:t>
            </w:r>
          </w:p>
        </w:tc>
        <w:tc>
          <w:tcPr>
            <w:tcW w:w="7305" w:type="dxa"/>
            <w:gridSpan w:val="3"/>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70162B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　</w:t>
            </w:r>
          </w:p>
        </w:tc>
      </w:tr>
      <w:tr w14:paraId="3ABA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09628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第二十条第（八）项</w:t>
            </w:r>
          </w:p>
        </w:tc>
      </w:tr>
      <w:tr w14:paraId="0DC2D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4FF6E9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信息内容</w:t>
            </w:r>
          </w:p>
        </w:tc>
        <w:tc>
          <w:tcPr>
            <w:tcW w:w="7305" w:type="dxa"/>
            <w:gridSpan w:val="3"/>
            <w:tcBorders>
              <w:top w:val="nil"/>
              <w:left w:val="nil"/>
              <w:bottom w:val="single" w:color="auto" w:sz="8" w:space="0"/>
              <w:right w:val="single" w:color="000000" w:sz="8" w:space="0"/>
            </w:tcBorders>
            <w:shd w:val="clear"/>
            <w:tcMar>
              <w:top w:w="0" w:type="dxa"/>
              <w:left w:w="57" w:type="dxa"/>
              <w:bottom w:w="0" w:type="dxa"/>
              <w:right w:w="57" w:type="dxa"/>
            </w:tcMar>
            <w:vAlign w:val="center"/>
          </w:tcPr>
          <w:p w14:paraId="5D526D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bdr w:val="none" w:color="auto" w:sz="0" w:space="0"/>
                <w:lang w:val="en-US" w:eastAsia="zh-CN" w:bidi="ar"/>
              </w:rPr>
              <w:t>本年收费金额（单位：万元）</w:t>
            </w:r>
          </w:p>
        </w:tc>
      </w:tr>
      <w:tr w14:paraId="458B8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tcMar>
              <w:top w:w="0" w:type="dxa"/>
              <w:left w:w="57" w:type="dxa"/>
              <w:bottom w:w="0" w:type="dxa"/>
              <w:right w:w="57" w:type="dxa"/>
            </w:tcMar>
            <w:vAlign w:val="center"/>
          </w:tcPr>
          <w:p w14:paraId="7BF563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bdr w:val="none" w:color="auto" w:sz="0" w:space="0"/>
                <w:lang w:val="en-US" w:eastAsia="zh-CN" w:bidi="ar"/>
              </w:rPr>
              <w:t>行政事业性收费</w:t>
            </w:r>
          </w:p>
        </w:tc>
        <w:tc>
          <w:tcPr>
            <w:tcW w:w="7305" w:type="dxa"/>
            <w:gridSpan w:val="3"/>
            <w:tcBorders>
              <w:top w:val="nil"/>
              <w:left w:val="nil"/>
              <w:bottom w:val="single" w:color="auto" w:sz="8" w:space="0"/>
              <w:right w:val="single" w:color="000000" w:sz="8" w:space="0"/>
            </w:tcBorders>
            <w:shd w:val="clear"/>
            <w:tcMar>
              <w:top w:w="0" w:type="dxa"/>
              <w:left w:w="57" w:type="dxa"/>
              <w:bottom w:w="0" w:type="dxa"/>
              <w:right w:w="57" w:type="dxa"/>
            </w:tcMar>
            <w:vAlign w:val="center"/>
          </w:tcPr>
          <w:p w14:paraId="550079BD">
            <w:pPr>
              <w:rPr>
                <w:rFonts w:hint="eastAsia" w:ascii="宋体" w:eastAsia="宋体"/>
                <w:sz w:val="24"/>
                <w:szCs w:val="24"/>
                <w:lang w:val="en-US" w:eastAsia="zh-CN"/>
              </w:rPr>
            </w:pPr>
            <w:r>
              <w:rPr>
                <w:rFonts w:hint="eastAsia" w:ascii="宋体"/>
                <w:sz w:val="24"/>
                <w:szCs w:val="24"/>
                <w:lang w:val="en-US" w:eastAsia="zh-CN"/>
              </w:rPr>
              <w:t>0</w:t>
            </w:r>
          </w:p>
        </w:tc>
      </w:tr>
    </w:tbl>
    <w:p w14:paraId="15E40D6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jc w:val="both"/>
        <w:rPr>
          <w:rFonts w:hint="eastAsia" w:ascii="黑体" w:hAnsi="黑体" w:eastAsia="黑体" w:cs="黑体"/>
          <w:i w:val="0"/>
          <w:iCs w:val="0"/>
          <w:caps w:val="0"/>
          <w:color w:val="000000"/>
          <w:spacing w:val="0"/>
          <w:kern w:val="0"/>
          <w:sz w:val="32"/>
          <w:szCs w:val="32"/>
          <w:lang w:val="en-US" w:eastAsia="zh-CN" w:bidi="ar"/>
        </w:rPr>
      </w:pPr>
    </w:p>
    <w:p w14:paraId="2916CE0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both"/>
        <w:rPr>
          <w:rFonts w:hint="eastAsia" w:ascii="黑体" w:hAnsi="黑体" w:eastAsia="黑体" w:cs="黑体"/>
          <w:i w:val="0"/>
          <w:iCs w:val="0"/>
          <w:caps w:val="0"/>
          <w:color w:val="000000"/>
          <w:spacing w:val="0"/>
          <w:kern w:val="0"/>
          <w:sz w:val="32"/>
          <w:szCs w:val="32"/>
          <w:lang w:val="en-US" w:eastAsia="zh-CN" w:bidi="ar"/>
        </w:rPr>
      </w:pPr>
      <w:r>
        <w:rPr>
          <w:rFonts w:hint="eastAsia" w:ascii="黑体" w:hAnsi="黑体" w:eastAsia="黑体" w:cs="黑体"/>
          <w:i w:val="0"/>
          <w:iCs w:val="0"/>
          <w:caps w:val="0"/>
          <w:color w:val="000000"/>
          <w:spacing w:val="0"/>
          <w:kern w:val="0"/>
          <w:sz w:val="32"/>
          <w:szCs w:val="32"/>
          <w:lang w:val="en-US" w:eastAsia="zh-CN" w:bidi="ar"/>
        </w:rPr>
        <w:t xml:space="preserve">收到和处理政府信息公开申请情况 </w:t>
      </w:r>
    </w:p>
    <w:tbl>
      <w:tblPr>
        <w:tblStyle w:val="4"/>
        <w:tblW w:w="9375"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55"/>
        <w:gridCol w:w="1040"/>
        <w:gridCol w:w="1440"/>
        <w:gridCol w:w="885"/>
        <w:gridCol w:w="855"/>
        <w:gridCol w:w="870"/>
        <w:gridCol w:w="855"/>
        <w:gridCol w:w="900"/>
        <w:gridCol w:w="750"/>
        <w:gridCol w:w="825"/>
      </w:tblGrid>
      <w:tr w14:paraId="58FF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435" w:type="dxa"/>
            <w:gridSpan w:val="3"/>
            <w:vMerge w:val="restart"/>
            <w:tcBorders/>
            <w:vAlign w:val="center"/>
          </w:tcPr>
          <w:p w14:paraId="3EE41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（本列数据的勾稽关系为：第一项加第二项之和，等于第三项加第四项之和）</w:t>
            </w:r>
          </w:p>
        </w:tc>
        <w:tc>
          <w:tcPr>
            <w:tcW w:w="5940" w:type="dxa"/>
            <w:gridSpan w:val="7"/>
            <w:vAlign w:val="center"/>
          </w:tcPr>
          <w:p w14:paraId="5E97E8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p w14:paraId="31E5A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申请人情况</w:t>
            </w:r>
          </w:p>
        </w:tc>
      </w:tr>
      <w:tr w14:paraId="1125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707" w:hRule="atLeast"/>
        </w:trPr>
        <w:tc>
          <w:tcPr>
            <w:tcW w:w="3435" w:type="dxa"/>
            <w:gridSpan w:val="3"/>
            <w:vMerge w:val="continue"/>
            <w:tcBorders/>
            <w:vAlign w:val="center"/>
          </w:tcPr>
          <w:p w14:paraId="3FAEC096">
            <w:pPr>
              <w:keepNext w:val="0"/>
              <w:keepLines w:val="0"/>
              <w:widowControl/>
              <w:numPr>
                <w:numId w:val="0"/>
              </w:numPr>
              <w:suppressLineNumbers w:val="0"/>
              <w:spacing w:before="300" w:beforeAutospacing="0" w:after="0" w:afterAutospacing="0" w:line="560" w:lineRule="atLeast"/>
              <w:ind w:right="0" w:rightChars="0"/>
              <w:jc w:val="center"/>
              <w:rPr>
                <w:rFonts w:hint="eastAsia" w:ascii="黑体" w:hAnsi="黑体" w:eastAsia="黑体" w:cs="黑体"/>
                <w:i w:val="0"/>
                <w:iCs w:val="0"/>
                <w:caps w:val="0"/>
                <w:color w:val="000000"/>
                <w:spacing w:val="0"/>
                <w:kern w:val="0"/>
                <w:sz w:val="32"/>
                <w:szCs w:val="32"/>
                <w:vertAlign w:val="baseline"/>
                <w:lang w:val="en-US" w:eastAsia="zh-CN" w:bidi="ar"/>
              </w:rPr>
            </w:pPr>
          </w:p>
        </w:tc>
        <w:tc>
          <w:tcPr>
            <w:tcW w:w="885" w:type="dxa"/>
            <w:vMerge w:val="restart"/>
            <w:vAlign w:val="center"/>
          </w:tcPr>
          <w:p w14:paraId="44EDB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p w14:paraId="34363E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自然人</w:t>
            </w:r>
          </w:p>
        </w:tc>
        <w:tc>
          <w:tcPr>
            <w:tcW w:w="4230" w:type="dxa"/>
            <w:gridSpan w:val="5"/>
            <w:vAlign w:val="center"/>
          </w:tcPr>
          <w:p w14:paraId="29A91C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法人或其他组织</w:t>
            </w:r>
          </w:p>
        </w:tc>
        <w:tc>
          <w:tcPr>
            <w:tcW w:w="825" w:type="dxa"/>
            <w:vMerge w:val="restart"/>
            <w:vAlign w:val="center"/>
          </w:tcPr>
          <w:p w14:paraId="414C76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总计</w:t>
            </w:r>
          </w:p>
        </w:tc>
      </w:tr>
      <w:tr w14:paraId="24B3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435" w:type="dxa"/>
            <w:gridSpan w:val="3"/>
            <w:vMerge w:val="continue"/>
            <w:tcBorders/>
            <w:vAlign w:val="center"/>
          </w:tcPr>
          <w:p w14:paraId="28A6BA59">
            <w:pPr>
              <w:keepNext w:val="0"/>
              <w:keepLines w:val="0"/>
              <w:widowControl/>
              <w:numPr>
                <w:numId w:val="0"/>
              </w:numPr>
              <w:suppressLineNumbers w:val="0"/>
              <w:spacing w:before="300" w:beforeAutospacing="0" w:after="0" w:afterAutospacing="0" w:line="560" w:lineRule="atLeast"/>
              <w:ind w:right="0" w:rightChars="0"/>
              <w:jc w:val="center"/>
              <w:rPr>
                <w:rFonts w:hint="eastAsia" w:ascii="黑体" w:hAnsi="黑体" w:eastAsia="黑体" w:cs="黑体"/>
                <w:i w:val="0"/>
                <w:iCs w:val="0"/>
                <w:caps w:val="0"/>
                <w:color w:val="000000"/>
                <w:spacing w:val="0"/>
                <w:kern w:val="0"/>
                <w:sz w:val="32"/>
                <w:szCs w:val="32"/>
                <w:vertAlign w:val="baseline"/>
                <w:lang w:val="en-US" w:eastAsia="zh-CN" w:bidi="ar"/>
              </w:rPr>
            </w:pPr>
          </w:p>
        </w:tc>
        <w:tc>
          <w:tcPr>
            <w:tcW w:w="885" w:type="dxa"/>
            <w:vMerge w:val="continue"/>
            <w:tcBorders/>
            <w:vAlign w:val="center"/>
          </w:tcPr>
          <w:p w14:paraId="003347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855" w:type="dxa"/>
            <w:vAlign w:val="center"/>
          </w:tcPr>
          <w:p w14:paraId="52EB9A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商业</w:t>
            </w:r>
          </w:p>
          <w:p w14:paraId="2115DA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企业</w:t>
            </w:r>
          </w:p>
        </w:tc>
        <w:tc>
          <w:tcPr>
            <w:tcW w:w="870" w:type="dxa"/>
            <w:vAlign w:val="center"/>
          </w:tcPr>
          <w:p w14:paraId="032E8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科研</w:t>
            </w:r>
          </w:p>
          <w:p w14:paraId="31283A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机构</w:t>
            </w:r>
          </w:p>
        </w:tc>
        <w:tc>
          <w:tcPr>
            <w:tcW w:w="855" w:type="dxa"/>
            <w:vAlign w:val="center"/>
          </w:tcPr>
          <w:p w14:paraId="33789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社会</w:t>
            </w:r>
          </w:p>
          <w:p w14:paraId="2EAB5F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公益</w:t>
            </w:r>
          </w:p>
          <w:p w14:paraId="62F38F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组织</w:t>
            </w:r>
          </w:p>
        </w:tc>
        <w:tc>
          <w:tcPr>
            <w:tcW w:w="900" w:type="dxa"/>
            <w:vAlign w:val="center"/>
          </w:tcPr>
          <w:p w14:paraId="2ED84F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法律</w:t>
            </w:r>
          </w:p>
          <w:p w14:paraId="330DB7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服务</w:t>
            </w:r>
          </w:p>
          <w:p w14:paraId="52D5BF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机构</w:t>
            </w:r>
          </w:p>
        </w:tc>
        <w:tc>
          <w:tcPr>
            <w:tcW w:w="750" w:type="dxa"/>
            <w:vAlign w:val="center"/>
          </w:tcPr>
          <w:p w14:paraId="4BDB7F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w:t>
            </w:r>
          </w:p>
        </w:tc>
        <w:tc>
          <w:tcPr>
            <w:tcW w:w="825" w:type="dxa"/>
            <w:vMerge w:val="continue"/>
            <w:tcBorders/>
            <w:vAlign w:val="center"/>
          </w:tcPr>
          <w:p w14:paraId="6205FF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r>
      <w:tr w14:paraId="72DB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42" w:hRule="atLeast"/>
        </w:trPr>
        <w:tc>
          <w:tcPr>
            <w:tcW w:w="3435" w:type="dxa"/>
            <w:gridSpan w:val="3"/>
            <w:vAlign w:val="center"/>
          </w:tcPr>
          <w:p w14:paraId="7765DE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一、本年新收政府信息公开申请数量</w:t>
            </w:r>
          </w:p>
        </w:tc>
        <w:tc>
          <w:tcPr>
            <w:tcW w:w="885" w:type="dxa"/>
            <w:vAlign w:val="center"/>
          </w:tcPr>
          <w:p w14:paraId="5FFF6F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202FBA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61EA0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62BC7A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1573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691F7E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74EC3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1525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32" w:hRule="atLeast"/>
        </w:trPr>
        <w:tc>
          <w:tcPr>
            <w:tcW w:w="3435" w:type="dxa"/>
            <w:gridSpan w:val="3"/>
            <w:vAlign w:val="center"/>
          </w:tcPr>
          <w:p w14:paraId="097E55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二、上年结转政府信息公开申请数量</w:t>
            </w:r>
          </w:p>
        </w:tc>
        <w:tc>
          <w:tcPr>
            <w:tcW w:w="885" w:type="dxa"/>
            <w:vAlign w:val="center"/>
          </w:tcPr>
          <w:p w14:paraId="5287AB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7168E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0DE5B4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163764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78238B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600E65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79EF05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3C9D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restart"/>
            <w:vAlign w:val="center"/>
          </w:tcPr>
          <w:p w14:paraId="44BDC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三、本年度办理结果</w:t>
            </w:r>
          </w:p>
        </w:tc>
        <w:tc>
          <w:tcPr>
            <w:tcW w:w="2480" w:type="dxa"/>
            <w:gridSpan w:val="2"/>
            <w:vAlign w:val="center"/>
          </w:tcPr>
          <w:p w14:paraId="2E91C8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（一）予以公开</w:t>
            </w:r>
          </w:p>
        </w:tc>
        <w:tc>
          <w:tcPr>
            <w:tcW w:w="885" w:type="dxa"/>
            <w:vAlign w:val="center"/>
          </w:tcPr>
          <w:p w14:paraId="019F99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65E139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7C6954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BED83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57C30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22A58C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6E38BB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046C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04AA43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2480" w:type="dxa"/>
            <w:gridSpan w:val="2"/>
            <w:vAlign w:val="center"/>
          </w:tcPr>
          <w:p w14:paraId="1268EE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（二）部分公开（区分处理的，只计这一情形，不计其他情形）</w:t>
            </w:r>
          </w:p>
        </w:tc>
        <w:tc>
          <w:tcPr>
            <w:tcW w:w="885" w:type="dxa"/>
            <w:vAlign w:val="center"/>
          </w:tcPr>
          <w:p w14:paraId="28A5DA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3AFE1D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5CAFF8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81BBC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6D6449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6015AA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37A8B8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05B2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6E9B79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restart"/>
            <w:vAlign w:val="center"/>
          </w:tcPr>
          <w:p w14:paraId="2B7F77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（三）不予公开</w:t>
            </w:r>
          </w:p>
        </w:tc>
        <w:tc>
          <w:tcPr>
            <w:tcW w:w="1440" w:type="dxa"/>
            <w:vAlign w:val="center"/>
          </w:tcPr>
          <w:p w14:paraId="6CC00B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1.属于国家秘密</w:t>
            </w:r>
          </w:p>
        </w:tc>
        <w:tc>
          <w:tcPr>
            <w:tcW w:w="885" w:type="dxa"/>
            <w:vAlign w:val="center"/>
          </w:tcPr>
          <w:p w14:paraId="6695F8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95CA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377A29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0AFCE0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10DC45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5CC82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13DB14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1D89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4C7E0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58E9D0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100147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2.其他法律行政法规禁止公开</w:t>
            </w:r>
          </w:p>
        </w:tc>
        <w:tc>
          <w:tcPr>
            <w:tcW w:w="885" w:type="dxa"/>
            <w:vAlign w:val="center"/>
          </w:tcPr>
          <w:p w14:paraId="3C8C6B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252DD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6023EB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8ECA6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47F99E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3785B3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46B23A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246E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71ECFB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054421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4399C3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3.危及“三安全一稳定”</w:t>
            </w:r>
          </w:p>
        </w:tc>
        <w:tc>
          <w:tcPr>
            <w:tcW w:w="885" w:type="dxa"/>
            <w:vAlign w:val="center"/>
          </w:tcPr>
          <w:p w14:paraId="7AFA9E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2BEB50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496756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0A6A6D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6ECCB7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18571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7931A7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0BA7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53AE06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7A96C7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14605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4.保护第三方合法权益</w:t>
            </w:r>
          </w:p>
        </w:tc>
        <w:tc>
          <w:tcPr>
            <w:tcW w:w="885" w:type="dxa"/>
            <w:vAlign w:val="center"/>
          </w:tcPr>
          <w:p w14:paraId="58A422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21D915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49CF72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37B7CD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08481A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2A0B92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34A07D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0871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26D47D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63CD7F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0BE7F0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5.属于三类内部事务信息</w:t>
            </w:r>
          </w:p>
        </w:tc>
        <w:tc>
          <w:tcPr>
            <w:tcW w:w="885" w:type="dxa"/>
            <w:vAlign w:val="center"/>
          </w:tcPr>
          <w:p w14:paraId="7A70E2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11F91A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42BE01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6FCAF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57582E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399BA0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3D731D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32C3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2FF31E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014DE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29791F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6.属于四类过程性信息</w:t>
            </w:r>
          </w:p>
        </w:tc>
        <w:tc>
          <w:tcPr>
            <w:tcW w:w="885" w:type="dxa"/>
            <w:vAlign w:val="center"/>
          </w:tcPr>
          <w:p w14:paraId="6B7B85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65061D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01F55B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7E88DA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5B272A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07EBAE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52803B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4C78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480BF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559DE9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5DC9C4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7.属于行政执法案卷</w:t>
            </w:r>
          </w:p>
        </w:tc>
        <w:tc>
          <w:tcPr>
            <w:tcW w:w="885" w:type="dxa"/>
            <w:vAlign w:val="center"/>
          </w:tcPr>
          <w:p w14:paraId="58990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34C1BF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4B918D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1509FA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4B880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175C51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504292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5950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486E49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63A0C9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6EB708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8.属于行政查询事项</w:t>
            </w:r>
          </w:p>
        </w:tc>
        <w:tc>
          <w:tcPr>
            <w:tcW w:w="885" w:type="dxa"/>
            <w:vAlign w:val="center"/>
          </w:tcPr>
          <w:p w14:paraId="1C838F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36C705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17406D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6D06E3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3A1C7F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763298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1F64B6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349C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741CE7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restart"/>
            <w:vAlign w:val="center"/>
          </w:tcPr>
          <w:p w14:paraId="34F2BE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（四）无法提供</w:t>
            </w:r>
          </w:p>
        </w:tc>
        <w:tc>
          <w:tcPr>
            <w:tcW w:w="1440" w:type="dxa"/>
            <w:vAlign w:val="center"/>
          </w:tcPr>
          <w:p w14:paraId="25767C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1.本机关不掌握相关政府信息</w:t>
            </w:r>
          </w:p>
        </w:tc>
        <w:tc>
          <w:tcPr>
            <w:tcW w:w="885" w:type="dxa"/>
            <w:vAlign w:val="center"/>
          </w:tcPr>
          <w:p w14:paraId="7121F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37CA0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512A5A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482D1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75D225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597447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7ADEEF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780A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489F2F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251B42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50BCFA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2.没有现成信息需要另行制作</w:t>
            </w:r>
          </w:p>
        </w:tc>
        <w:tc>
          <w:tcPr>
            <w:tcW w:w="885" w:type="dxa"/>
            <w:vAlign w:val="center"/>
          </w:tcPr>
          <w:p w14:paraId="69253B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750648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5DA070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F40B8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0F49BB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3C6E11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1B2DBA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426B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7BE085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06729E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4B77D2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3.补正后申请内容仍不明确</w:t>
            </w:r>
          </w:p>
        </w:tc>
        <w:tc>
          <w:tcPr>
            <w:tcW w:w="885" w:type="dxa"/>
            <w:vAlign w:val="center"/>
          </w:tcPr>
          <w:p w14:paraId="0EDA9B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6B852D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23C036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7B77A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24E04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76444F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207CDB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1149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18A427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restart"/>
            <w:vAlign w:val="center"/>
          </w:tcPr>
          <w:p w14:paraId="4D507D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（五）不予处理</w:t>
            </w:r>
          </w:p>
        </w:tc>
        <w:tc>
          <w:tcPr>
            <w:tcW w:w="1440" w:type="dxa"/>
            <w:vAlign w:val="center"/>
          </w:tcPr>
          <w:p w14:paraId="7478A1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1.信访举报投诉类申请</w:t>
            </w:r>
          </w:p>
        </w:tc>
        <w:tc>
          <w:tcPr>
            <w:tcW w:w="885" w:type="dxa"/>
            <w:vAlign w:val="center"/>
          </w:tcPr>
          <w:p w14:paraId="2B5CDF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2E5D14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6D28A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050A8C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4FE1D0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531C3A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65EE21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5AE8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65D41A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20F346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20BF8B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2.重复申请</w:t>
            </w:r>
          </w:p>
        </w:tc>
        <w:tc>
          <w:tcPr>
            <w:tcW w:w="885" w:type="dxa"/>
            <w:vAlign w:val="center"/>
          </w:tcPr>
          <w:p w14:paraId="7BCC18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368BC5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20F6AB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72A6D8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25260D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610502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6D7B9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1FA3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restart"/>
            <w:vAlign w:val="center"/>
          </w:tcPr>
          <w:p w14:paraId="67A112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6D00D2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1EADA6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3.要求提供公开出版物</w:t>
            </w:r>
          </w:p>
        </w:tc>
        <w:tc>
          <w:tcPr>
            <w:tcW w:w="885" w:type="dxa"/>
            <w:vAlign w:val="center"/>
          </w:tcPr>
          <w:p w14:paraId="0C2F10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98F9F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786A78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51E66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20A8E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7D4D9D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421769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2781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6A4B1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09BF9C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13479C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4.无正当理由大量反复申请</w:t>
            </w:r>
          </w:p>
        </w:tc>
        <w:tc>
          <w:tcPr>
            <w:tcW w:w="885" w:type="dxa"/>
            <w:vAlign w:val="center"/>
          </w:tcPr>
          <w:p w14:paraId="41C67C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6B86D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5EBB41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3062C0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4BB3C6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1C0A11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33983A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2FC4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562FB2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Merge w:val="continue"/>
            <w:tcBorders/>
            <w:vAlign w:val="center"/>
          </w:tcPr>
          <w:p w14:paraId="43FA3B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3A239B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5.要求行政机关确认或重新出具已获取信息</w:t>
            </w:r>
          </w:p>
        </w:tc>
        <w:tc>
          <w:tcPr>
            <w:tcW w:w="885" w:type="dxa"/>
            <w:vAlign w:val="center"/>
          </w:tcPr>
          <w:p w14:paraId="0132CF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1937C5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6B2EDF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7742D3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61577F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480BC4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261C47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6146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7A4E60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Align w:val="center"/>
          </w:tcPr>
          <w:p w14:paraId="1B20E9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（六）其他处理</w:t>
            </w:r>
          </w:p>
        </w:tc>
        <w:tc>
          <w:tcPr>
            <w:tcW w:w="1440" w:type="dxa"/>
            <w:vAlign w:val="center"/>
          </w:tcPr>
          <w:p w14:paraId="0E1EC5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1.申请人无正当理由逾期不补正、行政机关不再处理其政府信息公开申请</w:t>
            </w:r>
          </w:p>
        </w:tc>
        <w:tc>
          <w:tcPr>
            <w:tcW w:w="885" w:type="dxa"/>
            <w:vAlign w:val="center"/>
          </w:tcPr>
          <w:p w14:paraId="6A9486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7949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5F7714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B312A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7E6513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1F0FA3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7BB7C2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0A42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restart"/>
            <w:vAlign w:val="center"/>
          </w:tcPr>
          <w:p w14:paraId="426CBE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Align w:val="center"/>
          </w:tcPr>
          <w:p w14:paraId="53A272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4054DF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2.申请人逾期未按收费通知要求缴纳费用、行政机关不再处理其政府信息公开申请</w:t>
            </w:r>
          </w:p>
        </w:tc>
        <w:tc>
          <w:tcPr>
            <w:tcW w:w="885" w:type="dxa"/>
            <w:vAlign w:val="center"/>
          </w:tcPr>
          <w:p w14:paraId="1FBF3F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4A9ABD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0F6CA1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174B1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493437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2C37C3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0B3A2D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1D97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0A7FA7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1040" w:type="dxa"/>
            <w:vAlign w:val="center"/>
          </w:tcPr>
          <w:p w14:paraId="2FD66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p>
        </w:tc>
        <w:tc>
          <w:tcPr>
            <w:tcW w:w="1440" w:type="dxa"/>
            <w:vAlign w:val="center"/>
          </w:tcPr>
          <w:p w14:paraId="2C4E4E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3.其他</w:t>
            </w:r>
          </w:p>
        </w:tc>
        <w:tc>
          <w:tcPr>
            <w:tcW w:w="885" w:type="dxa"/>
            <w:vAlign w:val="center"/>
          </w:tcPr>
          <w:p w14:paraId="1E6625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353ED4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55F0AD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7BBFAF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2D55CB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5FA90B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5F827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3DF9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55" w:type="dxa"/>
            <w:vMerge w:val="continue"/>
            <w:tcBorders/>
            <w:vAlign w:val="center"/>
          </w:tcPr>
          <w:p w14:paraId="1476A3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2480" w:type="dxa"/>
            <w:gridSpan w:val="2"/>
            <w:vAlign w:val="center"/>
          </w:tcPr>
          <w:p w14:paraId="005F9D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 w:hAnsi="楷体" w:eastAsia="楷体" w:cs="楷体"/>
                <w:color w:val="000000"/>
                <w:kern w:val="0"/>
                <w:sz w:val="20"/>
                <w:szCs w:val="20"/>
                <w:lang w:val="en-US" w:eastAsia="zh-CN" w:bidi="ar"/>
              </w:rPr>
            </w:pPr>
            <w:r>
              <w:rPr>
                <w:rFonts w:hint="eastAsia" w:ascii="楷体" w:hAnsi="楷体" w:eastAsia="楷体" w:cs="楷体"/>
                <w:color w:val="000000"/>
                <w:kern w:val="0"/>
                <w:sz w:val="20"/>
                <w:szCs w:val="20"/>
                <w:lang w:val="en-US" w:eastAsia="zh-CN" w:bidi="ar"/>
              </w:rPr>
              <w:t>（七）总计</w:t>
            </w:r>
          </w:p>
        </w:tc>
        <w:tc>
          <w:tcPr>
            <w:tcW w:w="885" w:type="dxa"/>
            <w:vAlign w:val="center"/>
          </w:tcPr>
          <w:p w14:paraId="602ED3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A7D8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5EFACA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29FF11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26124C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310D2B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39079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r w14:paraId="6C4F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435" w:type="dxa"/>
            <w:gridSpan w:val="3"/>
            <w:vAlign w:val="center"/>
          </w:tcPr>
          <w:p w14:paraId="237978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四、结转下年度继续办理</w:t>
            </w:r>
          </w:p>
        </w:tc>
        <w:tc>
          <w:tcPr>
            <w:tcW w:w="885" w:type="dxa"/>
            <w:vAlign w:val="center"/>
          </w:tcPr>
          <w:p w14:paraId="2CCF0F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31CC14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70" w:type="dxa"/>
            <w:vAlign w:val="center"/>
          </w:tcPr>
          <w:p w14:paraId="38D3AF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55" w:type="dxa"/>
            <w:vAlign w:val="center"/>
          </w:tcPr>
          <w:p w14:paraId="51655B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900" w:type="dxa"/>
            <w:vAlign w:val="center"/>
          </w:tcPr>
          <w:p w14:paraId="024E92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750" w:type="dxa"/>
            <w:vAlign w:val="center"/>
          </w:tcPr>
          <w:p w14:paraId="2489D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825" w:type="dxa"/>
            <w:vAlign w:val="center"/>
          </w:tcPr>
          <w:p w14:paraId="1D67D9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bl>
    <w:p w14:paraId="01FD236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jc w:val="both"/>
        <w:rPr>
          <w:rFonts w:hint="eastAsia" w:ascii="黑体" w:hAnsi="黑体" w:eastAsia="黑体" w:cs="黑体"/>
          <w:i w:val="0"/>
          <w:iCs w:val="0"/>
          <w:caps w:val="0"/>
          <w:color w:val="000000"/>
          <w:spacing w:val="0"/>
          <w:kern w:val="0"/>
          <w:sz w:val="32"/>
          <w:szCs w:val="32"/>
          <w:lang w:val="en-US" w:eastAsia="zh-CN" w:bidi="ar"/>
        </w:rPr>
      </w:pPr>
    </w:p>
    <w:p w14:paraId="0C8BD5F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both"/>
        <w:rPr>
          <w:rFonts w:hint="eastAsia" w:ascii="黑体" w:hAnsi="黑体" w:eastAsia="黑体" w:cs="黑体"/>
          <w:i w:val="0"/>
          <w:iCs w:val="0"/>
          <w:caps w:val="0"/>
          <w:color w:val="000000"/>
          <w:spacing w:val="0"/>
          <w:kern w:val="0"/>
          <w:sz w:val="32"/>
          <w:szCs w:val="32"/>
          <w:lang w:val="en-US" w:eastAsia="zh-CN" w:bidi="ar"/>
        </w:rPr>
      </w:pPr>
      <w:r>
        <w:rPr>
          <w:rFonts w:hint="eastAsia" w:ascii="黑体" w:hAnsi="黑体" w:eastAsia="黑体" w:cs="黑体"/>
          <w:i w:val="0"/>
          <w:iCs w:val="0"/>
          <w:caps w:val="0"/>
          <w:color w:val="000000"/>
          <w:spacing w:val="0"/>
          <w:kern w:val="0"/>
          <w:sz w:val="32"/>
          <w:szCs w:val="32"/>
          <w:lang w:val="en-US" w:eastAsia="zh-CN" w:bidi="ar"/>
        </w:rPr>
        <w:t>政府信息公开行政复议、行政诉讼情况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567"/>
        <w:gridCol w:w="568"/>
        <w:gridCol w:w="568"/>
        <w:gridCol w:w="568"/>
        <w:gridCol w:w="568"/>
        <w:gridCol w:w="568"/>
        <w:gridCol w:w="568"/>
        <w:gridCol w:w="568"/>
        <w:gridCol w:w="568"/>
        <w:gridCol w:w="569"/>
        <w:gridCol w:w="568"/>
        <w:gridCol w:w="568"/>
        <w:gridCol w:w="568"/>
        <w:gridCol w:w="569"/>
        <w:gridCol w:w="569"/>
      </w:tblGrid>
      <w:tr w14:paraId="0525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37" w:hRule="atLeast"/>
        </w:trPr>
        <w:tc>
          <w:tcPr>
            <w:tcW w:w="2839" w:type="dxa"/>
            <w:gridSpan w:val="5"/>
            <w:vMerge w:val="restart"/>
            <w:vAlign w:val="center"/>
          </w:tcPr>
          <w:p w14:paraId="270D69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行政复议</w:t>
            </w:r>
          </w:p>
        </w:tc>
        <w:tc>
          <w:tcPr>
            <w:tcW w:w="5683" w:type="dxa"/>
            <w:gridSpan w:val="10"/>
            <w:vAlign w:val="center"/>
          </w:tcPr>
          <w:p w14:paraId="71A6D3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行政诉讼</w:t>
            </w:r>
          </w:p>
        </w:tc>
      </w:tr>
      <w:tr w14:paraId="2EBD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57" w:hRule="atLeast"/>
        </w:trPr>
        <w:tc>
          <w:tcPr>
            <w:tcW w:w="2839" w:type="dxa"/>
            <w:gridSpan w:val="5"/>
            <w:vMerge w:val="continue"/>
            <w:tcBorders/>
            <w:vAlign w:val="center"/>
          </w:tcPr>
          <w:p w14:paraId="221159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p>
        </w:tc>
        <w:tc>
          <w:tcPr>
            <w:tcW w:w="2841" w:type="dxa"/>
            <w:gridSpan w:val="5"/>
            <w:vAlign w:val="center"/>
          </w:tcPr>
          <w:p w14:paraId="0CB3A9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i w:val="0"/>
                <w:iCs w:val="0"/>
                <w:caps w:val="0"/>
                <w:color w:val="1E1E1E"/>
                <w:spacing w:val="0"/>
                <w:sz w:val="20"/>
                <w:szCs w:val="20"/>
                <w:shd w:val="clear" w:fill="FFFFFF"/>
              </w:rPr>
              <w:t>未经复议直接起诉</w:t>
            </w:r>
          </w:p>
        </w:tc>
        <w:tc>
          <w:tcPr>
            <w:tcW w:w="2842" w:type="dxa"/>
            <w:gridSpan w:val="5"/>
            <w:vAlign w:val="center"/>
          </w:tcPr>
          <w:p w14:paraId="0CC3C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复议后起诉</w:t>
            </w:r>
          </w:p>
        </w:tc>
      </w:tr>
      <w:tr w14:paraId="0CEE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733" w:hRule="atLeast"/>
        </w:trPr>
        <w:tc>
          <w:tcPr>
            <w:tcW w:w="567" w:type="dxa"/>
          </w:tcPr>
          <w:p w14:paraId="4F1730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结果维持</w:t>
            </w:r>
          </w:p>
        </w:tc>
        <w:tc>
          <w:tcPr>
            <w:tcW w:w="568" w:type="dxa"/>
          </w:tcPr>
          <w:p w14:paraId="122DF9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结果纠正</w:t>
            </w:r>
          </w:p>
        </w:tc>
        <w:tc>
          <w:tcPr>
            <w:tcW w:w="568" w:type="dxa"/>
          </w:tcPr>
          <w:p w14:paraId="0DC054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其他结果</w:t>
            </w:r>
          </w:p>
        </w:tc>
        <w:tc>
          <w:tcPr>
            <w:tcW w:w="568" w:type="dxa"/>
          </w:tcPr>
          <w:p w14:paraId="29313B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尚未审结</w:t>
            </w:r>
          </w:p>
        </w:tc>
        <w:tc>
          <w:tcPr>
            <w:tcW w:w="568" w:type="dxa"/>
          </w:tcPr>
          <w:p w14:paraId="51B65C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总计</w:t>
            </w:r>
          </w:p>
        </w:tc>
        <w:tc>
          <w:tcPr>
            <w:tcW w:w="568" w:type="dxa"/>
          </w:tcPr>
          <w:p w14:paraId="6DADDC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结果维持</w:t>
            </w:r>
          </w:p>
        </w:tc>
        <w:tc>
          <w:tcPr>
            <w:tcW w:w="568" w:type="dxa"/>
          </w:tcPr>
          <w:p w14:paraId="168557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结果纠正</w:t>
            </w:r>
          </w:p>
        </w:tc>
        <w:tc>
          <w:tcPr>
            <w:tcW w:w="568" w:type="dxa"/>
          </w:tcPr>
          <w:p w14:paraId="3305DE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其他结果 尚未审结</w:t>
            </w:r>
          </w:p>
        </w:tc>
        <w:tc>
          <w:tcPr>
            <w:tcW w:w="568" w:type="dxa"/>
          </w:tcPr>
          <w:p w14:paraId="2D37D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其他结果 尚未审结</w:t>
            </w:r>
          </w:p>
        </w:tc>
        <w:tc>
          <w:tcPr>
            <w:tcW w:w="569" w:type="dxa"/>
          </w:tcPr>
          <w:p w14:paraId="4685D7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总计</w:t>
            </w:r>
          </w:p>
        </w:tc>
        <w:tc>
          <w:tcPr>
            <w:tcW w:w="568" w:type="dxa"/>
            <w:vAlign w:val="top"/>
          </w:tcPr>
          <w:p w14:paraId="2BA48A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结果维持</w:t>
            </w:r>
          </w:p>
        </w:tc>
        <w:tc>
          <w:tcPr>
            <w:tcW w:w="568" w:type="dxa"/>
            <w:vAlign w:val="top"/>
          </w:tcPr>
          <w:p w14:paraId="6D14F5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结果纠正</w:t>
            </w:r>
          </w:p>
        </w:tc>
        <w:tc>
          <w:tcPr>
            <w:tcW w:w="568" w:type="dxa"/>
            <w:vAlign w:val="top"/>
          </w:tcPr>
          <w:p w14:paraId="09CC47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其他结果</w:t>
            </w:r>
          </w:p>
        </w:tc>
        <w:tc>
          <w:tcPr>
            <w:tcW w:w="569" w:type="dxa"/>
            <w:vAlign w:val="top"/>
          </w:tcPr>
          <w:p w14:paraId="2AA386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尚未审结</w:t>
            </w:r>
          </w:p>
        </w:tc>
        <w:tc>
          <w:tcPr>
            <w:tcW w:w="569" w:type="dxa"/>
            <w:vAlign w:val="top"/>
          </w:tcPr>
          <w:p w14:paraId="00334E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总计</w:t>
            </w:r>
          </w:p>
        </w:tc>
      </w:tr>
      <w:tr w14:paraId="6A8E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717" w:hRule="atLeast"/>
        </w:trPr>
        <w:tc>
          <w:tcPr>
            <w:tcW w:w="567" w:type="dxa"/>
          </w:tcPr>
          <w:p w14:paraId="328FDD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tcPr>
          <w:p w14:paraId="004E27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tcPr>
          <w:p w14:paraId="1189E9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tcPr>
          <w:p w14:paraId="039EAC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tcPr>
          <w:p w14:paraId="5E9BAC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vAlign w:val="top"/>
          </w:tcPr>
          <w:p w14:paraId="3EE5E8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vAlign w:val="top"/>
          </w:tcPr>
          <w:p w14:paraId="6FE0A7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vAlign w:val="top"/>
          </w:tcPr>
          <w:p w14:paraId="5CECEB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vAlign w:val="top"/>
          </w:tcPr>
          <w:p w14:paraId="1B8824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9" w:type="dxa"/>
            <w:vAlign w:val="top"/>
          </w:tcPr>
          <w:p w14:paraId="305625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vAlign w:val="top"/>
          </w:tcPr>
          <w:p w14:paraId="0DA6B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vAlign w:val="top"/>
          </w:tcPr>
          <w:p w14:paraId="5C9E3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8" w:type="dxa"/>
            <w:vAlign w:val="top"/>
          </w:tcPr>
          <w:p w14:paraId="351E9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9" w:type="dxa"/>
            <w:vAlign w:val="top"/>
          </w:tcPr>
          <w:p w14:paraId="7D1D85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c>
          <w:tcPr>
            <w:tcW w:w="569" w:type="dxa"/>
            <w:vAlign w:val="top"/>
          </w:tcPr>
          <w:p w14:paraId="3DE47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0</w:t>
            </w:r>
          </w:p>
        </w:tc>
      </w:tr>
    </w:tbl>
    <w:p w14:paraId="0322D8D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640" w:leftChars="0" w:right="0" w:rightChars="0"/>
        <w:jc w:val="both"/>
        <w:rPr>
          <w:rFonts w:hint="eastAsia" w:ascii="黑体" w:hAnsi="黑体" w:eastAsia="黑体" w:cs="黑体"/>
          <w:i w:val="0"/>
          <w:iCs w:val="0"/>
          <w:caps w:val="0"/>
          <w:color w:val="000000"/>
          <w:spacing w:val="0"/>
          <w:kern w:val="0"/>
          <w:sz w:val="32"/>
          <w:szCs w:val="32"/>
          <w:lang w:val="en-US" w:eastAsia="zh-CN" w:bidi="ar"/>
        </w:rPr>
      </w:pPr>
    </w:p>
    <w:p w14:paraId="3CDB3A7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both"/>
        <w:rPr>
          <w:rFonts w:hint="eastAsia" w:ascii="黑体" w:hAnsi="黑体" w:eastAsia="黑体" w:cs="黑体"/>
          <w:i w:val="0"/>
          <w:iCs w:val="0"/>
          <w:caps w:val="0"/>
          <w:color w:val="000000"/>
          <w:spacing w:val="0"/>
          <w:kern w:val="0"/>
          <w:sz w:val="32"/>
          <w:szCs w:val="32"/>
          <w:lang w:val="en-US" w:eastAsia="zh-CN" w:bidi="ar"/>
        </w:rPr>
      </w:pPr>
      <w:r>
        <w:rPr>
          <w:rFonts w:hint="eastAsia" w:ascii="黑体" w:hAnsi="黑体" w:eastAsia="黑体" w:cs="黑体"/>
          <w:i w:val="0"/>
          <w:iCs w:val="0"/>
          <w:caps w:val="0"/>
          <w:color w:val="000000"/>
          <w:spacing w:val="0"/>
          <w:kern w:val="0"/>
          <w:sz w:val="32"/>
          <w:szCs w:val="32"/>
          <w:lang w:val="en-US" w:eastAsia="zh-CN" w:bidi="ar"/>
        </w:rPr>
        <w:t xml:space="preserve">存在的主要问题及改进情况 </w:t>
      </w:r>
    </w:p>
    <w:p w14:paraId="78BFF6A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right="0" w:rightChars="0" w:firstLine="640" w:firstLineChars="20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2025年度，我局政府信息公开工作取得了成效，但依然存在一些问题，主要表现在政府信息公开的渠道还需进一步扩展和完善，政府信息公开的质量还有待进一步提高。 2026年，我局将围绕政务公开规范化、标准化的目标，不断提高信息公开服务化水平。一是加强信访相关政策解读与宣传。对《信访工作条例》等政策法规进行详细解读，持续加强信访宣传力度，让“依法信访、理性维权”的理念更加深入人心。二是拓宽信息公开渠道。不断完善政府信息公开目录，利用政府网站、微信公众号等多种渠道进行政府信息公开，及时准确发布有关信息，提升信访为民服务水平。三是加强学习培训。深入学习《条例》，熟练掌握政府信息公开工作的流程规范，提升工作人员业务能力，全面加强政府信息主动公开。</w:t>
      </w:r>
    </w:p>
    <w:p w14:paraId="3E901A5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both"/>
        <w:rPr>
          <w:rFonts w:hint="eastAsia" w:ascii="黑体" w:hAnsi="黑体" w:eastAsia="黑体" w:cs="黑体"/>
          <w:i w:val="0"/>
          <w:iCs w:val="0"/>
          <w:caps w:val="0"/>
          <w:color w:val="000000"/>
          <w:spacing w:val="0"/>
          <w:kern w:val="0"/>
          <w:sz w:val="32"/>
          <w:szCs w:val="32"/>
          <w:lang w:val="en-US" w:eastAsia="zh-CN" w:bidi="ar"/>
        </w:rPr>
      </w:pPr>
      <w:r>
        <w:rPr>
          <w:rFonts w:hint="eastAsia" w:ascii="黑体" w:hAnsi="黑体" w:eastAsia="黑体" w:cs="黑体"/>
          <w:i w:val="0"/>
          <w:iCs w:val="0"/>
          <w:caps w:val="0"/>
          <w:color w:val="000000"/>
          <w:spacing w:val="0"/>
          <w:kern w:val="0"/>
          <w:sz w:val="32"/>
          <w:szCs w:val="32"/>
          <w:lang w:val="en-US" w:eastAsia="zh-CN" w:bidi="ar"/>
        </w:rPr>
        <w:t xml:space="preserve">其他需要报告的事项 </w:t>
      </w:r>
    </w:p>
    <w:p w14:paraId="75BA159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640" w:leftChars="0" w:right="0" w:rightChars="0"/>
        <w:jc w:val="both"/>
        <w:rPr>
          <w:rFonts w:hint="eastAsia" w:ascii="方正仿宋_GB2312" w:hAnsi="方正仿宋_GB2312" w:eastAsia="方正仿宋_GB2312" w:cs="方正仿宋_GB2312"/>
          <w:i w:val="0"/>
          <w:iCs w:val="0"/>
          <w:caps w:val="0"/>
          <w:color w:val="000000"/>
          <w:spacing w:val="0"/>
          <w:kern w:val="0"/>
          <w:sz w:val="32"/>
          <w:szCs w:val="32"/>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lang w:val="en-US" w:eastAsia="zh-CN" w:bidi="ar"/>
        </w:rPr>
        <w:t>暂无其他需要说明的事项。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25391E-1403-4170-BE2E-3F8755D836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A3036996-903A-4793-B674-21385439823A}"/>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3" w:fontKey="{A9404617-C363-4F48-AAE0-A87B1F247DB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5F8DA"/>
    <w:multiLevelType w:val="singleLevel"/>
    <w:tmpl w:val="83F5F8DA"/>
    <w:lvl w:ilvl="0" w:tentative="0">
      <w:start w:val="1"/>
      <w:numFmt w:val="chineseCounting"/>
      <w:suff w:val="nothing"/>
      <w:lvlText w:val="%1、"/>
      <w:lvlJc w:val="left"/>
      <w:rPr>
        <w:rFonts w:hint="eastAsia"/>
      </w:rPr>
    </w:lvl>
  </w:abstractNum>
  <w:abstractNum w:abstractNumId="1">
    <w:nsid w:val="1F9DEC8B"/>
    <w:multiLevelType w:val="singleLevel"/>
    <w:tmpl w:val="1F9DEC8B"/>
    <w:lvl w:ilvl="0" w:tentative="0">
      <w:start w:val="2"/>
      <w:numFmt w:val="chineseCounting"/>
      <w:suff w:val="nothing"/>
      <w:lvlText w:val="（%1）"/>
      <w:lvlJc w:val="left"/>
      <w:pPr>
        <w:ind w:left="80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6B051B"/>
    <w:rsid w:val="0EC66D6C"/>
    <w:rsid w:val="0F5761B3"/>
    <w:rsid w:val="1E6F0E94"/>
    <w:rsid w:val="24A40099"/>
    <w:rsid w:val="291601D6"/>
    <w:rsid w:val="37552D47"/>
    <w:rsid w:val="520B6FE7"/>
    <w:rsid w:val="5A240EAC"/>
    <w:rsid w:val="5CBC2DB9"/>
    <w:rsid w:val="62737212"/>
    <w:rsid w:val="7BAB0149"/>
    <w:rsid w:val="7ED9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0"/>
      <w:sz w:val="32"/>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1510</Words>
  <Characters>1571</Characters>
  <Lines>0</Lines>
  <Paragraphs>0</Paragraphs>
  <TotalTime>37</TotalTime>
  <ScaleCrop>false</ScaleCrop>
  <LinksUpToDate>false</LinksUpToDate>
  <CharactersWithSpaces>1592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2023-11-29T03:20:00Z</dcterms:created>
  <dc:creator>Administrator</dc:creator>
  <cp:lastModifiedBy>Lemon</cp:lastModifiedBy>
  <dcterms:modified xsi:type="dcterms:W3CDTF">2026-02-06T08:16:03Z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9BE208D77FA742C4BD0A2A73C422289A_12</vt:lpwstr>
  </property>
  <property fmtid="{D5CDD505-2E9C-101B-9397-08002B2CF9AE}" pid="4" name="KSOTemplateDocerSaveRecord">
    <vt:lpwstr>eyJoZGlkIjoiNzlmNDM3M2M2NmRjZDVlMjQ4ZWFhMzU3YjNiODcxOTYiLCJ1c2VySWQiOiI0MDExNzE5NDEifQ==</vt:lpwstr>
  </property>
</Properties>
</file>