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黑体"/>
          <w:i w:val="0"/>
          <w:iCs w:val="0"/>
          <w:color w:val="auto"/>
          <w:kern w:val="0"/>
          <w:sz w:val="32"/>
          <w:szCs w:val="32"/>
          <w:u w:val="none"/>
          <w:lang w:val="en-US" w:eastAsia="zh-CN" w:bidi="ar"/>
        </w:rPr>
      </w:pPr>
      <w:r>
        <w:rPr>
          <w:rFonts w:hint="eastAsia" w:ascii="黑体" w:hAnsi="宋体" w:eastAsia="黑体" w:cs="黑体"/>
          <w:i w:val="0"/>
          <w:iCs w:val="0"/>
          <w:color w:val="auto"/>
          <w:kern w:val="0"/>
          <w:sz w:val="32"/>
          <w:szCs w:val="32"/>
          <w:u w:val="none"/>
          <w:lang w:val="en-US" w:eastAsia="zh-CN" w:bidi="ar"/>
        </w:rPr>
        <w:t>附件1</w:t>
      </w:r>
      <w:bookmarkStart w:id="0" w:name="_GoBack"/>
      <w:bookmarkEnd w:id="0"/>
    </w:p>
    <w:p>
      <w:pPr>
        <w:pStyle w:val="2"/>
        <w:ind w:left="0" w:leftChars="0" w:firstLine="0" w:firstLineChars="0"/>
        <w:jc w:val="center"/>
        <w:rPr>
          <w:rFonts w:hint="default" w:ascii="方正小标宋简体" w:hAnsi="方正小标宋简体" w:eastAsia="方正小标宋简体" w:cs="方正小标宋简体"/>
          <w:b w:val="0"/>
          <w:bCs w:val="0"/>
          <w:i w:val="0"/>
          <w:iCs w:val="0"/>
          <w:color w:val="auto"/>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t>2023年度城步苗族自治县高层次人才引进计划表</w:t>
      </w:r>
    </w:p>
    <w:tbl>
      <w:tblPr>
        <w:tblStyle w:val="6"/>
        <w:tblW w:w="133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0"/>
        <w:gridCol w:w="700"/>
        <w:gridCol w:w="780"/>
        <w:gridCol w:w="820"/>
        <w:gridCol w:w="860"/>
        <w:gridCol w:w="879"/>
        <w:gridCol w:w="5590"/>
        <w:gridCol w:w="930"/>
        <w:gridCol w:w="876"/>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20"/>
                <w:szCs w:val="20"/>
                <w:u w:val="none"/>
                <w:lang w:val="en-US" w:eastAsia="zh-CN" w:bidi="ar"/>
              </w:rPr>
              <w:t>序号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20"/>
                <w:szCs w:val="20"/>
                <w:u w:val="none"/>
                <w:lang w:val="en-US" w:eastAsia="zh-CN" w:bidi="ar"/>
              </w:rPr>
              <w:t>单位名称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20"/>
                <w:szCs w:val="20"/>
                <w:u w:val="none"/>
                <w:lang w:val="en-US" w:eastAsia="zh-CN" w:bidi="ar"/>
              </w:rPr>
              <w:t>单位性质</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20"/>
                <w:szCs w:val="20"/>
                <w:u w:val="none"/>
                <w:lang w:val="en-US" w:eastAsia="zh-CN" w:bidi="ar"/>
              </w:rPr>
              <w:t>计划数</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黑体" w:hAnsi="黑体" w:eastAsia="黑体" w:cs="黑体"/>
                <w:b w:val="0"/>
                <w:bCs w:val="0"/>
                <w:i w:val="0"/>
                <w:iCs w:val="0"/>
                <w:color w:val="auto"/>
                <w:sz w:val="20"/>
                <w:szCs w:val="20"/>
                <w:u w:val="none"/>
                <w:lang w:val="en-US"/>
              </w:rPr>
            </w:pPr>
            <w:r>
              <w:rPr>
                <w:rFonts w:hint="eastAsia" w:ascii="黑体" w:hAnsi="黑体" w:eastAsia="黑体" w:cs="黑体"/>
                <w:b w:val="0"/>
                <w:bCs w:val="0"/>
                <w:i w:val="0"/>
                <w:iCs w:val="0"/>
                <w:color w:val="auto"/>
                <w:kern w:val="0"/>
                <w:sz w:val="20"/>
                <w:szCs w:val="20"/>
                <w:u w:val="none"/>
                <w:lang w:val="en-US" w:eastAsia="zh-CN" w:bidi="ar"/>
              </w:rPr>
              <w:t>岗位名称及代码</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20"/>
                <w:szCs w:val="20"/>
                <w:u w:val="none"/>
                <w:lang w:val="en-US" w:eastAsia="zh-CN" w:bidi="ar"/>
              </w:rPr>
              <w:t>高层次人才类别</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20"/>
                <w:szCs w:val="20"/>
                <w:u w:val="none"/>
                <w:lang w:val="en-US" w:eastAsia="zh-CN" w:bidi="ar"/>
              </w:rPr>
              <w:t>职位所需条件</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kern w:val="0"/>
                <w:sz w:val="20"/>
                <w:szCs w:val="20"/>
                <w:u w:val="none"/>
                <w:lang w:val="en-US" w:eastAsia="zh-CN" w:bidi="ar"/>
              </w:rPr>
            </w:pPr>
            <w:r>
              <w:rPr>
                <w:rFonts w:hint="eastAsia" w:ascii="黑体" w:hAnsi="黑体" w:eastAsia="黑体" w:cs="黑体"/>
                <w:b w:val="0"/>
                <w:bCs w:val="0"/>
                <w:i w:val="0"/>
                <w:iCs w:val="0"/>
                <w:color w:val="auto"/>
                <w:kern w:val="0"/>
                <w:sz w:val="20"/>
                <w:szCs w:val="20"/>
                <w:u w:val="none"/>
                <w:lang w:val="en-US" w:eastAsia="zh-CN" w:bidi="ar"/>
              </w:rPr>
              <w:t>考试</w:t>
            </w:r>
          </w:p>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20"/>
                <w:szCs w:val="20"/>
                <w:u w:val="none"/>
                <w:lang w:val="en-US" w:eastAsia="zh-CN" w:bidi="ar"/>
              </w:rPr>
              <w:t>方式</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20"/>
                <w:szCs w:val="20"/>
                <w:u w:val="none"/>
                <w:lang w:val="en-US" w:eastAsia="zh-CN" w:bidi="ar"/>
              </w:rPr>
              <w:t>联系人</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val="0"/>
                <w:bCs w:val="0"/>
                <w:i w:val="0"/>
                <w:iCs w:val="0"/>
                <w:color w:val="auto"/>
                <w:sz w:val="20"/>
                <w:szCs w:val="20"/>
                <w:u w:val="none"/>
              </w:rPr>
            </w:pPr>
            <w:r>
              <w:rPr>
                <w:rFonts w:hint="eastAsia" w:ascii="黑体" w:hAnsi="黑体" w:eastAsia="黑体" w:cs="黑体"/>
                <w:b w:val="0"/>
                <w:bCs w:val="0"/>
                <w:i w:val="0"/>
                <w:iCs w:val="0"/>
                <w:color w:val="auto"/>
                <w:kern w:val="0"/>
                <w:sz w:val="20"/>
                <w:szCs w:val="20"/>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4"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城步一中</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全额</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5</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A1高级教师</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E</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1.正高级专业技术职称；或副高级专业技术职称且作为主要成员承担过市级以上研究课题并成果获省部级奖励；或省“121创新人才工程”第二层次人选；或全日制博士研究生；或相当于上述层次人才。</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2.具有高级中学及以上教师资格证。</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3.45岁及以下。</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直接</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考核</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杨光旺     李林松</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18673985468 13973947192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4"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城步二中</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全额</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2</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A2高级教师</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E</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1.正高级专业技术职称；或副高级专业技术职称且作为主要成员承担过市级以上研究课题并成果获省部级奖励；或省“121创新人才工程”第二层次人选；或全日制博士研究生；或相当于上述层次人才。</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2.具有高级中学及以上教师资格证。</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3.45岁及以下。</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直接</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考核</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马宜刚</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18975999377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5"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城步人民医院</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差额</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2</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A3主任医师</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E</w:t>
            </w:r>
          </w:p>
        </w:tc>
        <w:tc>
          <w:tcPr>
            <w:tcW w:w="5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1.正高级专业技术职称；或副高级专业技术职称且作为主要成员承担过市级以上研究课题并成果获省部级奖励；或省“121创新人才工程”第二层次人选；或全日制博士研究生；或相当于上述层次人才。</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2.45岁及以下。</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kern w:val="0"/>
                <w:sz w:val="22"/>
                <w:szCs w:val="22"/>
                <w:u w:val="none"/>
                <w:lang w:val="en-US" w:eastAsia="zh-CN" w:bidi="ar"/>
              </w:rPr>
            </w:pPr>
            <w:r>
              <w:rPr>
                <w:rFonts w:hint="eastAsia" w:ascii="仿宋_GB2312" w:hAnsi="仿宋_GB2312" w:eastAsia="仿宋_GB2312" w:cs="仿宋_GB2312"/>
                <w:i w:val="0"/>
                <w:iCs w:val="0"/>
                <w:color w:val="auto"/>
                <w:kern w:val="0"/>
                <w:sz w:val="22"/>
                <w:szCs w:val="22"/>
                <w:u w:val="none"/>
                <w:lang w:val="en-US" w:eastAsia="zh-CN" w:bidi="ar"/>
              </w:rPr>
              <w:t>直接</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考核</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申松</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18627399720</w:t>
            </w:r>
          </w:p>
        </w:tc>
      </w:tr>
    </w:tbl>
    <w:p/>
    <w:sectPr>
      <w:pgSz w:w="16838" w:h="11906" w:orient="landscape"/>
      <w:pgMar w:top="1417" w:right="1440" w:bottom="79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Mjc0OWJiZjFhMGUwNTY2NTZkOTViZmJlNWVhY2IifQ=="/>
  </w:docVars>
  <w:rsids>
    <w:rsidRoot w:val="6B96162B"/>
    <w:rsid w:val="6B961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99"/>
    <w:pPr>
      <w:ind w:firstLine="420" w:firstLineChars="200"/>
    </w:pPr>
  </w:style>
  <w:style w:type="paragraph" w:customStyle="1" w:styleId="3">
    <w:name w:val="BodyTextIndent"/>
    <w:basedOn w:val="1"/>
    <w:qFormat/>
    <w:uiPriority w:val="99"/>
    <w:pPr>
      <w:ind w:left="1149" w:leftChars="199" w:hanging="512" w:hangingChars="160"/>
      <w:textAlignment w:val="baseline"/>
    </w:pPr>
    <w:rPr>
      <w:rFonts w:ascii="Times New Roman" w:hAnsi="Times New Roman" w:eastAsia="宋体"/>
      <w:szCs w:val="24"/>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452</Words>
  <Characters>518</Characters>
  <Lines>0</Lines>
  <Paragraphs>0</Paragraphs>
  <TotalTime>1</TotalTime>
  <ScaleCrop>false</ScaleCrop>
  <LinksUpToDate>false</LinksUpToDate>
  <CharactersWithSpaces>524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2023-04-14T07:52:00Z</dcterms:created>
  <dc:creator>elephant</dc:creator>
  <cp:lastModifiedBy>elephant</cp:lastModifiedBy>
  <dcterms:modified xsi:type="dcterms:W3CDTF">2023-04-14T07:54:17Z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9556EC173AC24582A3A4E9AD6D849D9B_11</vt:lpwstr>
  </property>
</Properties>
</file>