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县</w:t>
      </w:r>
      <w:r>
        <w:rPr>
          <w:rFonts w:hint="eastAsia" w:ascii="黑体" w:eastAsia="黑体"/>
          <w:sz w:val="44"/>
          <w:szCs w:val="44"/>
        </w:rPr>
        <w:t>党史</w:t>
      </w:r>
      <w:r>
        <w:rPr>
          <w:rFonts w:hint="eastAsia" w:ascii="黑体" w:eastAsia="黑体"/>
          <w:sz w:val="44"/>
          <w:szCs w:val="44"/>
          <w:lang w:eastAsia="zh-CN"/>
        </w:rPr>
        <w:t>和地方志研究室</w:t>
      </w:r>
      <w:r>
        <w:rPr>
          <w:rFonts w:hint="eastAsia" w:ascii="黑体" w:eastAsia="黑体"/>
          <w:sz w:val="44"/>
          <w:szCs w:val="44"/>
          <w:lang w:val="en-US" w:eastAsia="zh-CN"/>
        </w:rPr>
        <w:t>2021年度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部门</w:t>
      </w:r>
      <w:r>
        <w:rPr>
          <w:rFonts w:hint="eastAsia" w:ascii="黑体" w:eastAsia="黑体"/>
          <w:sz w:val="44"/>
          <w:szCs w:val="44"/>
        </w:rPr>
        <w:t xml:space="preserve">整体支出绩效报告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概况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（一）部门基本情况。参照公务员管理的全额拨款事业单位。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编制六人，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人。主要职能是调查、征集、研究、编纂党史、地方志资料。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（二）年初绩效目标设定：市办对县的考核目标是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扎实开展年度综合年鉴编撰工作并保障编纂经费每年不少于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15万元，上报《城步县委工作纪事》、《城步县委工作概况》和《邵阳年鉴》城步方面材料，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《城步年鉴》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印刷出版，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编纂《城步年鉴》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并印刷出版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。本部门发展规划：</w:t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eastAsia="zh-CN"/>
        </w:rPr>
        <w:t>党史工作：</w:t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eastAsia="zh-CN"/>
        </w:rPr>
        <w:t>1、有分管党史工作领导，所报材料都由分管领导审核签字。有固定编纂人员、办公条件和经费。2、材料政治观点正确，符合唯物主义历史观，史料真实可靠。3、编纂《中国共产党城步县历史（第二卷）》12月送出版社4、组织、发动老同志撰写回忆文章和调研报告。5、完成省、市县交办的材料、调研文章撰写任务。6、配合县委搞好党史学习教育工作，参与组织重大党史事件、重要党史人物的纪念活动，会同有关部门做好全县重大党史题材出版物、影视影像作品的审查工作。地方志工作</w:t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pacing w:val="-10"/>
          <w:kern w:val="0"/>
          <w:sz w:val="32"/>
          <w:szCs w:val="32"/>
          <w:lang w:eastAsia="zh-CN"/>
        </w:rPr>
        <w:t>1、有分管地方志工作领导，所报材料都由分管领导审核签字。2、《城步年鉴》条目、篇目设置科学合理，符合体例记载内容符合国家法律法规和相关规定。3、《城步年鉴》按时公开出版。4、完成省、市、县交办的材料，调研文章撰写任务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预算配置情况：在职人员经费控制良好无增加，“三公”经费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0.49万元，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0.08万元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减幅达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14.55%。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重点支出安排经费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部门整体支出</w:t>
      </w:r>
      <w:r>
        <w:rPr>
          <w:rFonts w:eastAsia="黑体"/>
          <w:sz w:val="32"/>
          <w:szCs w:val="32"/>
        </w:rPr>
        <w:t>管理及使用情况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（一）部门整体支出情况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部门整体收入</w:t>
      </w:r>
      <w:r>
        <w:rPr>
          <w:rFonts w:hint="eastAsia" w:eastAsia="仿宋_GB2312"/>
          <w:sz w:val="32"/>
          <w:szCs w:val="32"/>
          <w:lang w:val="en-US" w:eastAsia="zh-CN"/>
        </w:rPr>
        <w:t>71.15</w:t>
      </w:r>
      <w:r>
        <w:rPr>
          <w:rFonts w:eastAsia="仿宋_GB2312"/>
          <w:sz w:val="32"/>
          <w:szCs w:val="32"/>
        </w:rPr>
        <w:t>万元，支出</w:t>
      </w:r>
      <w:r>
        <w:rPr>
          <w:rFonts w:hint="eastAsia" w:eastAsia="仿宋_GB2312"/>
          <w:sz w:val="32"/>
          <w:szCs w:val="32"/>
          <w:lang w:val="en-US" w:eastAsia="zh-CN"/>
        </w:rPr>
        <w:t>71.15</w:t>
      </w:r>
      <w:r>
        <w:rPr>
          <w:rFonts w:eastAsia="仿宋_GB2312"/>
          <w:sz w:val="32"/>
          <w:szCs w:val="32"/>
        </w:rPr>
        <w:t>万元，主要用于史志资料征集、编纂、出版，涉及人员经费、日常办公支出及其他经费支出。其中人员经费支出</w:t>
      </w:r>
      <w:r>
        <w:rPr>
          <w:rFonts w:hint="eastAsia" w:eastAsia="仿宋_GB2312"/>
          <w:sz w:val="32"/>
          <w:szCs w:val="32"/>
          <w:lang w:val="en-US" w:eastAsia="zh-CN"/>
        </w:rPr>
        <w:t>53.32</w:t>
      </w:r>
      <w:r>
        <w:rPr>
          <w:rFonts w:eastAsia="仿宋_GB2312"/>
          <w:sz w:val="32"/>
          <w:szCs w:val="32"/>
        </w:rPr>
        <w:t>万元，日常公用经费支出</w:t>
      </w:r>
      <w:r>
        <w:rPr>
          <w:rFonts w:hint="eastAsia" w:eastAsia="仿宋_GB2312"/>
          <w:sz w:val="32"/>
          <w:szCs w:val="32"/>
          <w:lang w:val="en-US" w:eastAsia="zh-CN"/>
        </w:rPr>
        <w:t>17.83</w:t>
      </w:r>
      <w:r>
        <w:rPr>
          <w:rFonts w:eastAsia="仿宋_GB2312"/>
          <w:sz w:val="32"/>
          <w:szCs w:val="32"/>
        </w:rPr>
        <w:t>万元。主要用途：史志资料征集、编纂、出版、人员经费等。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（二）预算执行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资金按季度按比例支付，由国库集中核算局进行管理，全年预算基本完成。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（三）预算管理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“三公”经费使用情况：单位无车，也无出国考察活动，全年经费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0.49万元，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0.08万元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减幅达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14.55%。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来源于县财政全额拨款，一直由国库集中核算局核算，单位财务制度制订完善，资金使用规范，实行大额发票集中会审，执行到位，无不良的资金使用记录。预决算（包括绩效）信息在规定时间内在政府网站公开、基础信息完善，资产管理管理制度完善，无遗失或使用不善情况，固定资产利用率100%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部门整体支出</w:t>
      </w:r>
      <w:r>
        <w:rPr>
          <w:rFonts w:eastAsia="黑体"/>
          <w:sz w:val="32"/>
          <w:szCs w:val="32"/>
        </w:rPr>
        <w:t>绩效情况</w:t>
      </w:r>
    </w:p>
    <w:p>
      <w:pPr>
        <w:adjustRightInd w:val="0"/>
        <w:snapToGrid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（一）</w:t>
      </w:r>
      <w:r>
        <w:rPr>
          <w:rFonts w:hint="eastAsia" w:ascii="仿宋_GB2312" w:hAnsi="仿宋" w:eastAsia="仿宋_GB2312" w:cs="仿宋"/>
          <w:sz w:val="32"/>
          <w:szCs w:val="32"/>
        </w:rPr>
        <w:t>年初制订的绩效工作目标到年底全部按时按质完成，具体情况如下：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《城步年鉴》20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出版，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《城步年鉴》20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编纂初稿送出版社审核出版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2、上报《城步县委工作纪事》、《城步县委工作概况》和《邵阳年鉴》城步方面材料3万余字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3、与县委宣传部、县档案局共同举办“党史光辉耀苗乡”大型展览，在儒林广场、县档案局一楼大厅及各乡镇场巡回展出56个展板，观展人数逾万人。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４、《中国共产党城步县历史》（第二卷），经多次补充修改形成样稿30万字，已完成样稿初评。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５、编纂15万余字党史学习教育读本《见证》，印刷出版并发放全县各级党组织。６、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向邵阳市财政局争取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20万元，向邵阳市关工委争取5万元维修改造丹口莲花桥阻击战旧址基础设施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（二）履职效益情况。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单位履行职责对经济发展、社会发展所带来的直接或间接影响大，单位履行职责对生态环境没有任何影响。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（三）社会公众或服务对象满意度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社会公众或服务对象满意度100%</w:t>
      </w:r>
      <w:r>
        <w:rPr>
          <w:rFonts w:hint="eastAsia" w:ascii="仿宋_GB2312" w:eastAsia="仿宋_GB2312"/>
          <w:sz w:val="32"/>
          <w:szCs w:val="32"/>
          <w:lang w:eastAsia="zh-CN"/>
        </w:rPr>
        <w:t>，无任何投诉和不良反响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四、存在的主要问题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资金安排存在</w:t>
      </w:r>
      <w:r>
        <w:rPr>
          <w:rFonts w:hint="eastAsia" w:eastAsia="仿宋_GB2312"/>
          <w:sz w:val="32"/>
          <w:szCs w:val="32"/>
        </w:rPr>
        <w:t>下拨时间安排不合理，集中在年前统一下拨，年末不允许有结余，导致使用过程中存在年中工作开展不利，年末因时间关系，导致经费使用不畅。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hint="eastAsia" w:eastAsia="黑体"/>
          <w:sz w:val="32"/>
          <w:szCs w:val="32"/>
        </w:rPr>
        <w:t>改进措施和有关建议</w:t>
      </w:r>
    </w:p>
    <w:p>
      <w:r>
        <w:rPr>
          <w:rFonts w:hint="eastAsia" w:eastAsia="仿宋_GB2312"/>
          <w:sz w:val="32"/>
          <w:szCs w:val="32"/>
          <w:lang w:eastAsia="zh-CN"/>
        </w:rPr>
        <w:t>　　</w:t>
      </w:r>
      <w:r>
        <w:rPr>
          <w:rFonts w:hint="eastAsia" w:eastAsia="仿宋_GB2312"/>
          <w:sz w:val="32"/>
          <w:szCs w:val="32"/>
        </w:rPr>
        <w:t>建议经费</w:t>
      </w:r>
      <w:r>
        <w:rPr>
          <w:rFonts w:hint="eastAsia" w:eastAsia="仿宋_GB2312"/>
          <w:sz w:val="32"/>
          <w:szCs w:val="32"/>
          <w:lang w:eastAsia="zh-CN"/>
        </w:rPr>
        <w:t>要按进度及时下拨</w:t>
      </w:r>
      <w:r>
        <w:rPr>
          <w:rFonts w:eastAsia="仿宋_GB2312"/>
          <w:sz w:val="32"/>
          <w:szCs w:val="32"/>
        </w:rPr>
        <w:t>。</w:t>
      </w:r>
    </w:p>
    <w:p/>
    <w:p/>
    <w:p/>
    <w:p/>
    <w:p/>
    <w:p>
      <w:p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　　　　　　　　　　　　　　　　　　　　　　</w:t>
      </w:r>
      <w:r>
        <w:rPr>
          <w:rFonts w:hint="eastAsia" w:eastAsia="仿宋_GB2312"/>
          <w:sz w:val="32"/>
          <w:szCs w:val="32"/>
          <w:lang w:eastAsia="zh-CN"/>
        </w:rPr>
        <w:t>　　</w:t>
      </w:r>
      <w:r>
        <w:rPr>
          <w:rFonts w:hint="eastAsia" w:eastAsia="仿宋_GB2312"/>
          <w:sz w:val="32"/>
          <w:szCs w:val="32"/>
          <w:lang w:val="en-US" w:eastAsia="zh-CN"/>
        </w:rPr>
        <w:t>2022年6月6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OWU5M2IxZTU5NDdiNDhlYjY4NGQ4OTExYmFiYmMifQ=="/>
  </w:docVars>
  <w:rsids>
    <w:rsidRoot w:val="682666C1"/>
    <w:rsid w:val="0EB52A32"/>
    <w:rsid w:val="34D846CC"/>
    <w:rsid w:val="354E2190"/>
    <w:rsid w:val="4E35584E"/>
    <w:rsid w:val="56AB09F7"/>
    <w:rsid w:val="5D6D7F4B"/>
    <w:rsid w:val="682666C1"/>
    <w:rsid w:val="6A366774"/>
    <w:rsid w:val="7BCF4B82"/>
    <w:rsid w:val="7E30631E"/>
    <w:rsid w:val="7F5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1487</Words>
  <Characters>1553</Characters>
  <Lines>0</Lines>
  <Paragraphs>0</Paragraphs>
  <TotalTime>4</TotalTime>
  <ScaleCrop>false</ScaleCrop>
  <LinksUpToDate>false</LinksUpToDate>
  <CharactersWithSpaces>1563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2022-07-08T08:02:00Z</dcterms:created>
  <dc:creator>Administrator</dc:creator>
  <cp:lastModifiedBy>Administrator</cp:lastModifiedBy>
  <cp:lastPrinted>2022-07-11T01:39:00Z</cp:lastPrinted>
  <dcterms:modified xsi:type="dcterms:W3CDTF">2022-07-14T12:09:24Z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5ECF7F9237144CC2AC8ECD490FBF1F27</vt:lpwstr>
  </property>
</Properties>
</file>