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汀坪乡法治政府建设工作报告</w:t>
      </w:r>
    </w:p>
    <w:p>
      <w:pPr>
        <w:jc w:val="center"/>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在县委、县政府的坚强领导下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县委依法治县办的正确指导下，我乡坚持以习近平新时代中国特色社会主义思想为指导，深入学习贯彻习近平总书记全面依法治国新理念新思想新战略和重要讲话精神，全面贯彻落实党中央、省、市、县关于法治建设的重大决策部署。一年来，我乡成功</w:t>
      </w:r>
      <w:r>
        <w:rPr>
          <w:rFonts w:hint="eastAsia" w:ascii="仿宋_GB2312" w:hAnsi="仿宋_GB2312" w:eastAsia="仿宋_GB2312" w:cs="仿宋_GB2312"/>
          <w:b/>
          <w:bCs/>
          <w:sz w:val="32"/>
          <w:szCs w:val="32"/>
        </w:rPr>
        <w:t>纳入</w:t>
      </w:r>
      <w:r>
        <w:rPr>
          <w:rFonts w:hint="eastAsia" w:ascii="仿宋_GB2312" w:hAnsi="仿宋_GB2312" w:eastAsia="仿宋_GB2312" w:cs="仿宋_GB2312"/>
          <w:sz w:val="32"/>
          <w:szCs w:val="32"/>
        </w:rPr>
        <w:t>湖南省乡村振兴示范乡镇，</w:t>
      </w:r>
      <w:r>
        <w:rPr>
          <w:rFonts w:hint="eastAsia" w:ascii="仿宋_GB2312" w:hAnsi="仿宋_GB2312" w:eastAsia="仿宋_GB2312" w:cs="仿宋_GB2312"/>
          <w:b/>
          <w:bCs/>
          <w:sz w:val="32"/>
          <w:szCs w:val="32"/>
        </w:rPr>
        <w:t>获得</w:t>
      </w:r>
      <w:r>
        <w:rPr>
          <w:rFonts w:hint="eastAsia" w:ascii="仿宋_GB2312" w:hAnsi="仿宋_GB2312" w:eastAsia="仿宋_GB2312" w:cs="仿宋_GB2312"/>
          <w:sz w:val="32"/>
          <w:szCs w:val="32"/>
        </w:rPr>
        <w:t>湖南省林长制工作先进单位，</w:t>
      </w:r>
      <w:r>
        <w:rPr>
          <w:rFonts w:hint="eastAsia" w:ascii="仿宋_GB2312" w:hAnsi="仿宋_GB2312" w:eastAsia="仿宋_GB2312" w:cs="仿宋_GB2312"/>
          <w:b/>
          <w:bCs/>
          <w:sz w:val="32"/>
          <w:szCs w:val="32"/>
        </w:rPr>
        <w:t>获得</w:t>
      </w:r>
      <w:r>
        <w:rPr>
          <w:rFonts w:hint="eastAsia" w:ascii="仿宋_GB2312" w:hAnsi="仿宋_GB2312" w:eastAsia="仿宋_GB2312" w:cs="仿宋_GB2312"/>
          <w:sz w:val="32"/>
          <w:szCs w:val="32"/>
        </w:rPr>
        <w:t>湖南省消费帮扶先进集体，成功</w:t>
      </w:r>
      <w:r>
        <w:rPr>
          <w:rFonts w:hint="eastAsia" w:ascii="仿宋_GB2312" w:hAnsi="仿宋_GB2312" w:eastAsia="仿宋_GB2312" w:cs="仿宋_GB2312"/>
          <w:b/>
          <w:bCs/>
          <w:sz w:val="32"/>
          <w:szCs w:val="32"/>
        </w:rPr>
        <w:t>创建</w:t>
      </w:r>
      <w:r>
        <w:rPr>
          <w:rFonts w:hint="eastAsia" w:ascii="仿宋_GB2312" w:hAnsi="仿宋_GB2312" w:eastAsia="仿宋_GB2312" w:cs="仿宋_GB2312"/>
          <w:sz w:val="32"/>
          <w:szCs w:val="32"/>
        </w:rPr>
        <w:t>为湖南省文明乡镇，蓬瀛村</w:t>
      </w:r>
      <w:r>
        <w:rPr>
          <w:rFonts w:hint="eastAsia" w:ascii="仿宋_GB2312" w:hAnsi="仿宋_GB2312" w:eastAsia="仿宋_GB2312" w:cs="仿宋_GB2312"/>
          <w:b/>
          <w:bCs/>
          <w:sz w:val="32"/>
          <w:szCs w:val="32"/>
        </w:rPr>
        <w:t>获评</w:t>
      </w:r>
      <w:r>
        <w:rPr>
          <w:rFonts w:hint="eastAsia" w:ascii="仿宋_GB2312" w:hAnsi="仿宋_GB2312" w:eastAsia="仿宋_GB2312" w:cs="仿宋_GB2312"/>
          <w:sz w:val="32"/>
          <w:szCs w:val="32"/>
        </w:rPr>
        <w:t>湖南省五星级乡村旅游区并被</w:t>
      </w:r>
      <w:r>
        <w:rPr>
          <w:rFonts w:hint="eastAsia" w:ascii="仿宋_GB2312" w:hAnsi="仿宋_GB2312" w:eastAsia="仿宋_GB2312" w:cs="仿宋_GB2312"/>
          <w:b/>
          <w:bCs/>
          <w:sz w:val="32"/>
          <w:szCs w:val="32"/>
        </w:rPr>
        <w:t>评为</w:t>
      </w:r>
      <w:r>
        <w:rPr>
          <w:rFonts w:hint="eastAsia" w:ascii="仿宋_GB2312" w:hAnsi="仿宋_GB2312" w:eastAsia="仿宋_GB2312" w:cs="仿宋_GB2312"/>
          <w:sz w:val="32"/>
          <w:szCs w:val="32"/>
        </w:rPr>
        <w:t>湖南省和谐社区示范单位，我乡被</w:t>
      </w:r>
      <w:r>
        <w:rPr>
          <w:rFonts w:hint="eastAsia" w:ascii="仿宋_GB2312" w:hAnsi="仿宋_GB2312" w:eastAsia="仿宋_GB2312" w:cs="仿宋_GB2312"/>
          <w:b/>
          <w:bCs/>
          <w:sz w:val="32"/>
          <w:szCs w:val="32"/>
        </w:rPr>
        <w:t>评为</w:t>
      </w:r>
      <w:r>
        <w:rPr>
          <w:rFonts w:hint="eastAsia" w:ascii="仿宋_GB2312" w:hAnsi="仿宋_GB2312" w:eastAsia="仿宋_GB2312" w:cs="仿宋_GB2312"/>
          <w:sz w:val="32"/>
          <w:szCs w:val="32"/>
        </w:rPr>
        <w:t>邵阳市安全生产工作先进单位，邵阳市信访“三无”乡镇。湘桂边界“五联”工作法被省</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政法委在全省进行推介。“我们村”数字化平台建设得到了全国政协农业和农村委员会副主任刘永富等领导的充分肯定。现将一年来法治政府建设年度工作报告如下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1.深入学习宣传习近平法治思想和《习近平法治思想学习纲要》。</w:t>
      </w:r>
      <w:r>
        <w:rPr>
          <w:rFonts w:hint="eastAsia" w:ascii="楷体_GB2312" w:hAnsi="楷体_GB2312" w:eastAsia="楷体_GB2312" w:cs="楷体_GB2312"/>
          <w:b/>
          <w:bCs/>
          <w:sz w:val="32"/>
          <w:szCs w:val="32"/>
        </w:rPr>
        <w:t>一是加强法治政府建设的组织领导。</w:t>
      </w:r>
      <w:r>
        <w:rPr>
          <w:rFonts w:hint="eastAsia" w:ascii="仿宋_GB2312" w:hAnsi="仿宋_GB2312" w:eastAsia="仿宋_GB2312" w:cs="仿宋_GB2312"/>
          <w:sz w:val="32"/>
          <w:szCs w:val="32"/>
        </w:rPr>
        <w:t>结合人员调整情况，乡党委政府团结和带领派出所、司法所、法庭等职能部门积极发挥职能作用，及时研究调整健全法治建设工作领导小组，进一步明确了工作职责，确保依法组织协调推进法治建设工作，领导小组下设司法所，负责法治建设日常工作。研究制定年度普法工作计划，进一步明确工作目标、时间节点，有序推进普法任务。</w:t>
      </w:r>
      <w:r>
        <w:rPr>
          <w:rFonts w:hint="eastAsia" w:ascii="楷体_GB2312" w:hAnsi="楷体_GB2312" w:eastAsia="楷体_GB2312" w:cs="楷体_GB2312"/>
          <w:b/>
          <w:bCs/>
          <w:sz w:val="32"/>
          <w:szCs w:val="32"/>
        </w:rPr>
        <w:t>二是认真学习上级有关会议精神。</w:t>
      </w:r>
      <w:r>
        <w:rPr>
          <w:rFonts w:hint="eastAsia" w:ascii="仿宋_GB2312" w:hAnsi="仿宋_GB2312" w:eastAsia="仿宋_GB2312" w:cs="仿宋_GB2312"/>
          <w:sz w:val="32"/>
          <w:szCs w:val="32"/>
        </w:rPr>
        <w:t>乡党委高度重视党委会会前学</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，认真把法治建设贯穿于基层党建、乡村振兴、社会综治等各类工作中，对中央、省、市、县各级会议精神开展学习传达</w:t>
      </w:r>
      <w:r>
        <w:rPr>
          <w:rFonts w:hint="eastAsia" w:ascii="仿宋_GB2312" w:hAnsi="仿宋_GB2312" w:eastAsia="仿宋_GB2312" w:cs="仿宋_GB2312"/>
          <w:sz w:val="32"/>
          <w:szCs w:val="32"/>
          <w:lang w:val="en-US" w:eastAsia="zh-CN"/>
        </w:rPr>
        <w:t>10余</w:t>
      </w:r>
      <w:r>
        <w:rPr>
          <w:rFonts w:hint="eastAsia" w:ascii="仿宋_GB2312" w:hAnsi="仿宋_GB2312" w:eastAsia="仿宋_GB2312" w:cs="仿宋_GB2312"/>
          <w:sz w:val="32"/>
          <w:szCs w:val="32"/>
        </w:rPr>
        <w:t>次，积极推动法治型政府建设。</w:t>
      </w:r>
      <w:r>
        <w:rPr>
          <w:rFonts w:hint="eastAsia" w:ascii="楷体_GB2312" w:hAnsi="楷体_GB2312" w:eastAsia="楷体_GB2312" w:cs="楷体_GB2312"/>
          <w:b/>
          <w:bCs/>
          <w:sz w:val="32"/>
          <w:szCs w:val="32"/>
        </w:rPr>
        <w:t>三是对习近平法治思想和《习近平法治思想学习纲要》进行重点的学习和培训。</w:t>
      </w:r>
      <w:r>
        <w:rPr>
          <w:rFonts w:hint="eastAsia" w:ascii="仿宋_GB2312" w:hAnsi="仿宋_GB2312" w:eastAsia="仿宋_GB2312" w:cs="仿宋_GB2312"/>
          <w:sz w:val="32"/>
          <w:szCs w:val="32"/>
        </w:rPr>
        <w:t>乡党委中心组高度重视对习近平总书记系列讲话的学习，将“习近平总书记全面依法治国新理念新思想新战略”作为中心组学习的专题纳入党委中心组学习计划。去年，我乡80余名干部职工按照要求完成了国家公职人员网上学法考试，乡行政综合执法大队联合司法所在汀坪中小学、蓬瀛学校、杨梅坳学校组织举办了8次法治讲座。乡机关一、二党支部组织党员前往蓬瀛村红色文化教育基地开展重走长征路和</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讲堂活动2次。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2.落实全面依法治县目标任务，统筹谋划与整体规划法治建设，提升政府依法执法水平。</w:t>
      </w:r>
      <w:r>
        <w:rPr>
          <w:rFonts w:hint="eastAsia" w:ascii="楷体_GB2312" w:hAnsi="楷体_GB2312" w:eastAsia="楷体_GB2312" w:cs="楷体_GB2312"/>
          <w:b/>
          <w:bCs/>
          <w:sz w:val="32"/>
          <w:szCs w:val="32"/>
        </w:rPr>
        <w:t>一是积极发挥法律顾问作用。</w:t>
      </w:r>
      <w:r>
        <w:rPr>
          <w:rFonts w:hint="eastAsia" w:ascii="仿宋_GB2312" w:hAnsi="仿宋_GB2312" w:eastAsia="仿宋_GB2312" w:cs="仿宋_GB2312"/>
          <w:sz w:val="32"/>
          <w:szCs w:val="32"/>
        </w:rPr>
        <w:t>本年度，我乡继续加强与湖南承信律师事务所的联系，聘请王阳震律师为我乡的法律顾问，并充分发挥律师作用，参与我乡的合同审查、矛盾纠纷等工作。</w:t>
      </w:r>
      <w:r>
        <w:rPr>
          <w:rFonts w:hint="eastAsia" w:ascii="楷体_GB2312" w:hAnsi="楷体_GB2312" w:eastAsia="楷体_GB2312" w:cs="楷体_GB2312"/>
          <w:b/>
          <w:bCs/>
          <w:sz w:val="32"/>
          <w:szCs w:val="32"/>
        </w:rPr>
        <w:t>二是坚决贯彻“三重一大”制度。</w:t>
      </w:r>
      <w:r>
        <w:rPr>
          <w:rFonts w:hint="eastAsia" w:ascii="仿宋_GB2312" w:hAnsi="仿宋_GB2312" w:eastAsia="仿宋_GB2312" w:cs="仿宋_GB2312"/>
          <w:sz w:val="32"/>
          <w:szCs w:val="32"/>
        </w:rPr>
        <w:t>乡党委印发《汀坪乡“三重一大”集体决策制度实施细则》的通知，促进了集体决策的科学化、民主化、制度化、公开化，规范了机关制度运行平稳有序。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3.全面推行依法行政，加快法治政府建设。</w:t>
      </w:r>
      <w:r>
        <w:rPr>
          <w:rFonts w:hint="eastAsia" w:ascii="楷体_GB2312" w:hAnsi="楷体_GB2312" w:eastAsia="楷体_GB2312" w:cs="楷体_GB2312"/>
          <w:b/>
          <w:bCs/>
          <w:sz w:val="32"/>
          <w:szCs w:val="32"/>
        </w:rPr>
        <w:t>一是推进行政决策科学化民主化法治化。</w:t>
      </w:r>
      <w:r>
        <w:rPr>
          <w:rFonts w:hint="eastAsia" w:ascii="仿宋_GB2312" w:hAnsi="仿宋_GB2312" w:eastAsia="仿宋_GB2312" w:cs="仿宋_GB2312"/>
          <w:sz w:val="32"/>
          <w:szCs w:val="32"/>
        </w:rPr>
        <w:t>实行规范性文件、各类行政、民事合同的审核制度。不符合法律或上级规定的退回修改，确保文件的合法性。坚持规范性文件的报备工作。一直以来对已发布的规范性文件在乡党政办进行了备案审查登记及存档。实施规范性文件的清理工作。根据上级部门要求，及时开展行政规范性文件全面清理工作，并及时报送清理结果。</w:t>
      </w:r>
      <w:r>
        <w:rPr>
          <w:rFonts w:hint="eastAsia" w:ascii="楷体_GB2312" w:hAnsi="楷体_GB2312" w:eastAsia="楷体_GB2312" w:cs="楷体_GB2312"/>
          <w:b/>
          <w:bCs/>
          <w:sz w:val="32"/>
          <w:szCs w:val="32"/>
        </w:rPr>
        <w:t>二是规范行政执法行为。</w:t>
      </w:r>
      <w:r>
        <w:rPr>
          <w:rFonts w:hint="eastAsia" w:ascii="仿宋_GB2312" w:hAnsi="仿宋_GB2312" w:eastAsia="仿宋_GB2312" w:cs="仿宋_GB2312"/>
          <w:sz w:val="32"/>
          <w:szCs w:val="32"/>
        </w:rPr>
        <w:t>认真落实县级下放行政综合执法权限，切实做好承接工作，并及时在公开栏等载体予以公布，主动与县直有关部门对接，针对下放的政务服务、行政执法、医保就业等几大类管理权限，及时协调相关部署，确保承接到位。综合行政执法大队一年来办结行政处罚案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起，罚没</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万余元。</w:t>
      </w:r>
      <w:r>
        <w:rPr>
          <w:rFonts w:hint="eastAsia" w:ascii="楷体_GB2312" w:hAnsi="楷体_GB2312" w:eastAsia="楷体_GB2312" w:cs="楷体_GB2312"/>
          <w:b/>
          <w:bCs/>
          <w:sz w:val="32"/>
          <w:szCs w:val="32"/>
        </w:rPr>
        <w:t>三是优化营商环境。</w:t>
      </w:r>
      <w:r>
        <w:rPr>
          <w:rFonts w:hint="eastAsia" w:ascii="仿宋_GB2312" w:hAnsi="仿宋_GB2312" w:eastAsia="仿宋_GB2312" w:cs="仿宋_GB2312"/>
          <w:sz w:val="32"/>
          <w:szCs w:val="32"/>
        </w:rPr>
        <w:t>我乡积极协调各职能部门持续深化“放管服”改革，强化审批事项后续监管，由乡司法所牵头，执法大队联合市场监管所共同配合在辖区内开展优化营商环境整治宣传1次，发放宣传册</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00余册。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4.推进司法改革，加强司法公正，维护公平正义。</w:t>
      </w:r>
      <w:r>
        <w:rPr>
          <w:rFonts w:hint="eastAsia" w:ascii="楷体_GB2312" w:hAnsi="楷体_GB2312" w:eastAsia="楷体_GB2312" w:cs="楷体_GB2312"/>
          <w:b/>
          <w:bCs/>
          <w:sz w:val="32"/>
          <w:szCs w:val="32"/>
        </w:rPr>
        <w:t>一是落实人民陪审员选任管理制度。</w:t>
      </w:r>
      <w:r>
        <w:rPr>
          <w:rFonts w:hint="eastAsia" w:ascii="仿宋_GB2312" w:hAnsi="仿宋_GB2312" w:eastAsia="仿宋_GB2312" w:cs="仿宋_GB2312"/>
          <w:sz w:val="32"/>
          <w:szCs w:val="32"/>
        </w:rPr>
        <w:t>县法院在我乡机关选任肖王波、傅涛华2名同志担任人民陪审员，全年共参与陪同开庭案件1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起。</w:t>
      </w:r>
      <w:r>
        <w:rPr>
          <w:rFonts w:hint="eastAsia" w:ascii="楷体_GB2312" w:hAnsi="楷体_GB2312" w:eastAsia="楷体_GB2312" w:cs="楷体_GB2312"/>
          <w:b/>
          <w:bCs/>
          <w:sz w:val="32"/>
          <w:szCs w:val="32"/>
        </w:rPr>
        <w:t>二是以考促学，学用结合。</w:t>
      </w:r>
      <w:r>
        <w:rPr>
          <w:rFonts w:hint="eastAsia" w:ascii="仿宋_GB2312" w:hAnsi="仿宋_GB2312" w:eastAsia="仿宋_GB2312" w:cs="仿宋_GB2312"/>
          <w:sz w:val="32"/>
          <w:szCs w:val="32"/>
        </w:rPr>
        <w:t>坚持行政执法人员和专业技术人员持证上岗和资格管理制度。近年来，我乡</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名干部职工顺利通过了县司法局的行政执法证考试，2人参加了省级行政执法培训，今年年初，</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名干部职工参加了执法考试，对全乡执法队伍建设起到了重要作用。</w:t>
      </w:r>
      <w:r>
        <w:rPr>
          <w:rFonts w:hint="eastAsia" w:ascii="楷体_GB2312" w:hAnsi="楷体_GB2312" w:eastAsia="楷体_GB2312" w:cs="楷体_GB2312"/>
          <w:b/>
          <w:bCs/>
          <w:sz w:val="32"/>
          <w:szCs w:val="32"/>
        </w:rPr>
        <w:t>三是加大对矫正人员的监管。</w:t>
      </w:r>
      <w:r>
        <w:rPr>
          <w:rFonts w:hint="eastAsia" w:ascii="仿宋_GB2312" w:hAnsi="仿宋_GB2312" w:eastAsia="仿宋_GB2312" w:cs="仿宋_GB2312"/>
          <w:sz w:val="32"/>
          <w:szCs w:val="32"/>
        </w:rPr>
        <w:t>积极配合司法机关的司法、执法行动，对安乐村、杨梅村2名社区矫正人员进行宣传教育。村辅警配合对扫黑除恶的线索进行摸排，配合司法机关开展扫黑除恶工作，社会风气大有好转，极大</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增强了群众的安全感。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5.坚持“五联”共治，开创社会治理新局面。</w:t>
      </w:r>
      <w:r>
        <w:rPr>
          <w:rFonts w:hint="eastAsia" w:ascii="楷体_GB2312" w:hAnsi="楷体_GB2312" w:eastAsia="楷体_GB2312" w:cs="楷体_GB2312"/>
          <w:b/>
          <w:bCs/>
          <w:sz w:val="32"/>
          <w:szCs w:val="32"/>
        </w:rPr>
        <w:t>一是社会治安“联防”，确保群众安居乐业。</w:t>
      </w:r>
      <w:r>
        <w:rPr>
          <w:rFonts w:hint="eastAsia" w:ascii="仿宋_GB2312" w:hAnsi="仿宋_GB2312" w:eastAsia="仿宋_GB2312" w:cs="仿宋_GB2312"/>
          <w:sz w:val="32"/>
          <w:szCs w:val="32"/>
        </w:rPr>
        <w:t>我乡与广西资源县的河口乡、龙胜县江底乡三方共同签订了《河口、江底、汀坪三乡治安联防协议书》，成立联防联调领导机构，坚持常态化检查与集中打击相结合，开展联防联治、群防群治，共同预防纠纷、惩治违法、打击犯罪，营造边界良好的治安环境。</w:t>
      </w:r>
      <w:r>
        <w:rPr>
          <w:rFonts w:hint="eastAsia" w:ascii="楷体_GB2312" w:hAnsi="楷体_GB2312" w:eastAsia="楷体_GB2312" w:cs="楷体_GB2312"/>
          <w:b/>
          <w:bCs/>
          <w:sz w:val="32"/>
          <w:szCs w:val="32"/>
        </w:rPr>
        <w:t>二是矛盾纠纷“联调”，共创边界和谐稳定。</w:t>
      </w:r>
      <w:r>
        <w:rPr>
          <w:rFonts w:hint="eastAsia" w:ascii="仿宋_GB2312" w:hAnsi="仿宋_GB2312" w:eastAsia="仿宋_GB2312" w:cs="仿宋_GB2312"/>
          <w:sz w:val="32"/>
          <w:szCs w:val="32"/>
        </w:rPr>
        <w:t>我乡联合广西河口乡、江底乡签订了《边界矛盾纠纷“联调”协议书》，采取积极预防、调处化解、快速处置等行之有效的措施，着力把边界地区的矛盾隐患解决在基层，化解在萌芽状态。</w:t>
      </w:r>
      <w:r>
        <w:rPr>
          <w:rFonts w:hint="eastAsia" w:ascii="楷体_GB2312" w:hAnsi="楷体_GB2312" w:eastAsia="楷体_GB2312" w:cs="楷体_GB2312"/>
          <w:b/>
          <w:bCs/>
          <w:sz w:val="32"/>
          <w:szCs w:val="32"/>
        </w:rPr>
        <w:t>三是农业产业“联发”，增加边界群众收入。</w:t>
      </w:r>
      <w:r>
        <w:rPr>
          <w:rFonts w:hint="eastAsia" w:ascii="仿宋_GB2312" w:hAnsi="仿宋_GB2312" w:eastAsia="仿宋_GB2312" w:cs="仿宋_GB2312"/>
          <w:sz w:val="32"/>
          <w:szCs w:val="32"/>
        </w:rPr>
        <w:t>汀坪与江底、河口气候环境相似，通过前往实地考察调研，立足资源优势，结合工作实际，我乡确定了“两果两茶”，即罗汉果、百香果、油茶、峒茶产业发展战略。目前，我乡“两果两茶”种植取得了重大突破，基地建设稳步推进。</w:t>
      </w:r>
      <w:r>
        <w:rPr>
          <w:rFonts w:hint="eastAsia" w:ascii="楷体_GB2312" w:hAnsi="楷体_GB2312" w:eastAsia="楷体_GB2312" w:cs="楷体_GB2312"/>
          <w:b/>
          <w:bCs/>
          <w:sz w:val="32"/>
          <w:szCs w:val="32"/>
        </w:rPr>
        <w:t>四是基础设施“联建”，方便群众生产生活。</w:t>
      </w:r>
      <w:r>
        <w:rPr>
          <w:rFonts w:hint="eastAsia" w:ascii="仿宋_GB2312" w:hAnsi="仿宋_GB2312" w:eastAsia="仿宋_GB2312" w:cs="仿宋_GB2312"/>
          <w:sz w:val="32"/>
          <w:szCs w:val="32"/>
        </w:rPr>
        <w:t>乡党委政府定期实地调研边界地区的基础设施建设，持续加大投入力度，与广西江底乡、河口乡共同协商，共同争取项目资金，共同规划设计，共同推进建设。</w:t>
      </w:r>
      <w:r>
        <w:rPr>
          <w:rFonts w:hint="eastAsia" w:ascii="楷体_GB2312" w:hAnsi="楷体_GB2312" w:eastAsia="楷体_GB2312" w:cs="楷体_GB2312"/>
          <w:b/>
          <w:bCs/>
          <w:sz w:val="32"/>
          <w:szCs w:val="32"/>
        </w:rPr>
        <w:t>五是群众文化“联创”，增进三方睦邻友好。</w:t>
      </w:r>
      <w:r>
        <w:rPr>
          <w:rFonts w:hint="eastAsia" w:ascii="仿宋_GB2312" w:hAnsi="仿宋_GB2312" w:eastAsia="仿宋_GB2312" w:cs="仿宋_GB2312"/>
          <w:sz w:val="32"/>
          <w:szCs w:val="32"/>
        </w:rPr>
        <w:t>加快边界地区文化发展，弘扬边界地区社会正气，是推进边界地区精神文明建设的有力抓手。汀坪乡联合广西河口乡、江底乡把少数民族文化搬上舞台，不断交流学习，相互借鉴，取长补短，塑造了一批既有三乡独具特色，又有共通之处的民俗文化品牌。我乡“五联”工作法</w:t>
      </w:r>
      <w:r>
        <w:rPr>
          <w:rFonts w:hint="eastAsia" w:ascii="仿宋_GB2312" w:hAnsi="仿宋_GB2312" w:eastAsia="仿宋_GB2312" w:cs="仿宋_GB2312"/>
          <w:sz w:val="32"/>
          <w:szCs w:val="32"/>
          <w:lang w:val="en-US" w:eastAsia="zh-CN"/>
        </w:rPr>
        <w:t>因此</w:t>
      </w:r>
      <w:r>
        <w:rPr>
          <w:rFonts w:hint="eastAsia" w:ascii="仿宋_GB2312" w:hAnsi="仿宋_GB2312" w:eastAsia="仿宋_GB2312" w:cs="仿宋_GB2312"/>
          <w:sz w:val="32"/>
          <w:szCs w:val="32"/>
        </w:rPr>
        <w:t>被省委政法委在全省进行推介。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一年来</w:t>
      </w:r>
      <w:r>
        <w:rPr>
          <w:rFonts w:hint="eastAsia" w:ascii="仿宋_GB2312" w:hAnsi="仿宋_GB2312" w:eastAsia="仿宋_GB2312" w:cs="仿宋_GB2312"/>
          <w:sz w:val="32"/>
          <w:szCs w:val="32"/>
        </w:rPr>
        <w:t>，在县委全面依法治县委员会办公室的业务指导下，我乡法治政府建设工作顺利完成，法治政府建设工作相比去年有了进一步提高。但与上级的要求和公众的需求还存在一定的差距。今后我们将结合全乡实际，针对不足，加强信息报送，加强法治思维培养，不断提高依法行政能力，积极探索新思路，研究新办法，使</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政府建设工作迈向新台阶，奋力谱写新时代汀坪高质量发展的壮丽篇章。</w:t>
      </w:r>
    </w:p>
    <w:p>
      <w:pPr>
        <w:ind w:firstLine="640" w:firstLineChars="200"/>
        <w:jc w:val="both"/>
        <w:rPr>
          <w:rFonts w:hint="eastAsia" w:ascii="仿宋_GB2312" w:hAnsi="仿宋_GB2312" w:eastAsia="仿宋_GB2312" w:cs="仿宋_GB2312"/>
          <w:sz w:val="32"/>
          <w:szCs w:val="32"/>
        </w:rPr>
      </w:pP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汀坪乡人民政府</w:t>
      </w:r>
    </w:p>
    <w:p>
      <w:pPr>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2023年11月15日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4M2Y2OTcwYWI3NzIxOTk1OTg4ODgzMDMzOTU5NjgifQ=="/>
  </w:docVars>
  <w:rsids>
    <w:rsidRoot w:val="311B28AB"/>
    <w:rsid w:val="311B28AB"/>
    <w:rsid w:val="3B545DE3"/>
    <w:rsid w:val="6841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2023-11-14T03:07:00Z</dcterms:created>
  <dc:creator>那不勒斯奶椰</dc:creator>
  <cp:lastModifiedBy>卟噜</cp:lastModifiedBy>
  <dcterms:modified xsi:type="dcterms:W3CDTF">2024-03-22T08:23:44Z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37B2C3367E154592936D00E2ABBCB933_13</vt:lpwstr>
  </property>
</Properties>
</file>