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page" w:tblpX="1171" w:tblpY="616"/>
        <w:tblOverlap w:val="never"/>
        <w:tblW w:w="1470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44"/>
        <w:gridCol w:w="6485"/>
        <w:gridCol w:w="1728"/>
        <w:gridCol w:w="574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5" w:hRule="atLeast"/>
          <w:tblHeader/>
        </w:trPr>
        <w:tc>
          <w:tcPr>
            <w:tcW w:w="7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cs="Times New Roman"/>
                <w:b w:val="0"/>
                <w:bCs w:val="0"/>
                <w:sz w:val="21"/>
                <w:szCs w:val="21"/>
              </w:rPr>
            </w:pPr>
            <w:r>
              <w:rPr>
                <w:b w:val="0"/>
                <w:bCs w:val="0"/>
                <w:sz w:val="21"/>
              </w:rPr>
              <mc:AlternateContent>
                <mc:Choice Requires="wps">
                  <w:drawing>
                    <wp:anchor distT="0" distB="0" distL="114300" distR="114300" simplePos="0" relativeHeight="251660288" behindDoc="0" locked="0" layoutInCell="1" allowOverlap="1">
                      <wp:simplePos x="0" y="0"/>
                      <wp:positionH relativeFrom="column">
                        <wp:posOffset>225425</wp:posOffset>
                      </wp:positionH>
                      <wp:positionV relativeFrom="paragraph">
                        <wp:posOffset>-641985</wp:posOffset>
                      </wp:positionV>
                      <wp:extent cx="755650" cy="323850"/>
                      <wp:effectExtent l="0" t="0" r="6350" b="0"/>
                      <wp:wrapNone/>
                      <wp:docPr id="3" name="文本框 3"/>
                      <wp:cNvGraphicFramePr/>
                      <a:graphic xmlns:a="http://schemas.openxmlformats.org/drawingml/2006/main">
                        <a:graphicData uri="http://schemas.microsoft.com/office/word/2010/wordprocessingShape">
                          <wps:wsp>
                            <wps:cNvSpPr txBox="1"/>
                            <wps:spPr>
                              <a:xfrm>
                                <a:off x="968375" y="914400"/>
                                <a:ext cx="755650" cy="3238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lang w:val="en-US" w:eastAsia="zh-CN"/>
                                    </w:rPr>
                                    <w:t>附件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75pt;margin-top:-50.55pt;height:25.5pt;width:59.5pt;z-index:251660288;mso-width-relative:page;mso-height-relative:page;" fillcolor="#FFFFFF [3201]" filled="t" stroked="f" coordsize="21600,21600" o:gfxdata="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wEZA9UAAAALAQAA&#10;DwAAAAAAAAABACAAAAAiAAAAZHJzL2Rvd25yZXYueG1sUEsBAhQAFAAAAAgAh07iQBfnoOhVAgAA&#10;mAQAAA4AAAAAAAAAAQAgAAAAJAEAAGRycy9lMm9Eb2MueG1sUEsFBgAAAAAGAAYAWQEAAOsFAAAA&#10;AA==&#10;">
                      <v:fill on="t" focussize="0,0"/>
                      <v:stroke on="f" weight="0.5pt"/>
                      <v:imagedata o:title=""/>
                      <o:lock v:ext="edit" aspectratio="f"/>
                      <v:textbox>
                        <w:txbxContent>
                          <w:p>
                            <w:pPr>
                              <w:rPr>
                                <w:rFonts w:hint="eastAsia" w:eastAsiaTheme="minorEastAsia"/>
                                <w:lang w:val="en-US" w:eastAsia="zh-CN"/>
                              </w:rPr>
                            </w:pPr>
                            <w:r>
                              <w:rPr>
                                <w:rFonts w:hint="eastAsia"/>
                                <w:lang w:val="en-US" w:eastAsia="zh-CN"/>
                              </w:rPr>
                              <w:t>附件</w:t>
                            </w:r>
                          </w:p>
                        </w:txbxContent>
                      </v:textbox>
                    </v:shape>
                  </w:pict>
                </mc:Fallback>
              </mc:AlternateContent>
            </w:r>
            <w:r>
              <w:rPr>
                <w:rFonts w:ascii="黑体" w:hAnsi="宋体" w:eastAsia="黑体" w:cs="黑体"/>
                <w:b w:val="0"/>
                <w:bCs w:val="0"/>
                <w:sz w:val="21"/>
                <w:szCs w:val="21"/>
              </w:rPr>
              <w:t>序号</w:t>
            </w:r>
          </w:p>
        </w:tc>
        <w:tc>
          <w:tcPr>
            <w:tcW w:w="648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cs="Times New Roman"/>
                <w:b w:val="0"/>
                <w:bCs w:val="0"/>
                <w:sz w:val="21"/>
                <w:szCs w:val="21"/>
              </w:rPr>
            </w:pPr>
            <w:r>
              <w:rPr>
                <w:b w:val="0"/>
                <w:bCs w:val="0"/>
                <w:sz w:val="21"/>
              </w:rPr>
              <mc:AlternateContent>
                <mc:Choice Requires="wps">
                  <w:drawing>
                    <wp:anchor distT="0" distB="0" distL="114300" distR="114300" simplePos="0" relativeHeight="251659264" behindDoc="0" locked="0" layoutInCell="1" allowOverlap="1">
                      <wp:simplePos x="0" y="0"/>
                      <wp:positionH relativeFrom="column">
                        <wp:posOffset>114935</wp:posOffset>
                      </wp:positionH>
                      <wp:positionV relativeFrom="paragraph">
                        <wp:posOffset>-534035</wp:posOffset>
                      </wp:positionV>
                      <wp:extent cx="7518400" cy="425450"/>
                      <wp:effectExtent l="0" t="0" r="0" b="0"/>
                      <wp:wrapNone/>
                      <wp:docPr id="2" name="文本框 2"/>
                      <wp:cNvGraphicFramePr/>
                      <a:graphic xmlns:a="http://schemas.openxmlformats.org/drawingml/2006/main">
                        <a:graphicData uri="http://schemas.microsoft.com/office/word/2010/wordprocessingShape">
                          <wps:wsp>
                            <wps:cNvSpPr txBox="1"/>
                            <wps:spPr>
                              <a:xfrm>
                                <a:off x="1330325" y="1022350"/>
                                <a:ext cx="7518400" cy="425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color w:val="000000" w:themeColor="text1"/>
                                      <w:sz w:val="22"/>
                                      <w:szCs w:val="22"/>
                                      <w14:textFill>
                                        <w14:solidFill>
                                          <w14:schemeClr w14:val="tx1"/>
                                        </w14:solidFill>
                                      </w14:textFill>
                                    </w:rPr>
                                  </w:pPr>
                                  <w:r>
                                    <w:rPr>
                                      <w:rFonts w:hint="eastAsia" w:asciiTheme="minorEastAsia" w:hAnsiTheme="minorEastAsia" w:eastAsiaTheme="minorEastAsia" w:cstheme="minorEastAsia"/>
                                      <w:b/>
                                      <w:bCs/>
                                      <w:i w:val="0"/>
                                      <w:iCs w:val="0"/>
                                      <w:caps w:val="0"/>
                                      <w:color w:val="000000" w:themeColor="text1"/>
                                      <w:spacing w:val="0"/>
                                      <w:sz w:val="32"/>
                                      <w:szCs w:val="32"/>
                                      <w:shd w:val="clear" w:fill="FFFFFF"/>
                                      <w:lang w:val="en-US" w:eastAsia="zh-CN"/>
                                      <w14:textFill>
                                        <w14:solidFill>
                                          <w14:schemeClr w14:val="tx1"/>
                                        </w14:solidFill>
                                      </w14:textFill>
                                    </w:rPr>
                                    <w:t>城步苗族自治县</w:t>
                                  </w:r>
                                  <w:r>
                                    <w:rPr>
                                      <w:rFonts w:hint="eastAsia" w:asciiTheme="minorEastAsia" w:hAnsiTheme="minorEastAsia" w:eastAsiaTheme="minorEastAsia" w:cstheme="minorEastAsia"/>
                                      <w:b/>
                                      <w:bCs/>
                                      <w:i w:val="0"/>
                                      <w:iCs w:val="0"/>
                                      <w:caps w:val="0"/>
                                      <w:color w:val="000000" w:themeColor="text1"/>
                                      <w:spacing w:val="0"/>
                                      <w:sz w:val="32"/>
                                      <w:szCs w:val="32"/>
                                      <w:shd w:val="clear" w:fill="FFFFFF"/>
                                      <w:lang w:eastAsia="zh-CN"/>
                                      <w14:textFill>
                                        <w14:solidFill>
                                          <w14:schemeClr w14:val="tx1"/>
                                        </w14:solidFill>
                                      </w14:textFill>
                                    </w:rPr>
                                    <w:t>发改局</w:t>
                                  </w:r>
                                  <w:r>
                                    <w:rPr>
                                      <w:rFonts w:hint="eastAsia" w:asciiTheme="minorEastAsia" w:hAnsiTheme="minorEastAsia" w:eastAsiaTheme="minorEastAsia" w:cstheme="minorEastAsia"/>
                                      <w:b/>
                                      <w:bCs/>
                                      <w:i w:val="0"/>
                                      <w:iCs w:val="0"/>
                                      <w:caps w:val="0"/>
                                      <w:color w:val="000000" w:themeColor="text1"/>
                                      <w:spacing w:val="0"/>
                                      <w:sz w:val="32"/>
                                      <w:szCs w:val="32"/>
                                      <w:shd w:val="clear" w:fill="FFFFFF"/>
                                      <w14:textFill>
                                        <w14:solidFill>
                                          <w14:schemeClr w14:val="tx1"/>
                                        </w14:solidFill>
                                      </w14:textFill>
                                    </w:rPr>
                                    <w:t>重大行政执法决定法制审核目录</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05pt;margin-top:-42.05pt;height:33.5pt;width:592pt;z-index:251659264;mso-width-relative:page;mso-height-relative:page;" filled="f" stroked="f" coordsize="21600,21600" o:gfxdata="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8b2UTdoAAAALAQAADwAAAAAAAAABACAA&#10;AAAiAAAAZHJzL2Rvd25yZXYueG1sUEsBAhQAFAAAAAgAh07iQB9Lub1EAgAAcgQAAA4AAAAAAAAA&#10;AQAgAAAAKQEAAGRycy9lMm9Eb2MueG1sUEsFBgAAAAAGAAYAWQEAAN8FAAAAAA==&#10;">
                      <v:fill on="f" focussize="0,0"/>
                      <v:stroke on="f" weight="0.5pt"/>
                      <v:imagedata o:title=""/>
                      <o:lock v:ext="edit" aspectratio="f"/>
                      <v:textbox>
                        <w:txbxContent>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color w:val="000000" w:themeColor="text1"/>
                                <w:sz w:val="22"/>
                                <w:szCs w:val="22"/>
                                <w14:textFill>
                                  <w14:solidFill>
                                    <w14:schemeClr w14:val="tx1"/>
                                  </w14:solidFill>
                                </w14:textFill>
                              </w:rPr>
                            </w:pPr>
                            <w:r>
                              <w:rPr>
                                <w:rFonts w:hint="eastAsia" w:asciiTheme="minorEastAsia" w:hAnsiTheme="minorEastAsia" w:eastAsiaTheme="minorEastAsia" w:cstheme="minorEastAsia"/>
                                <w:b/>
                                <w:bCs/>
                                <w:i w:val="0"/>
                                <w:iCs w:val="0"/>
                                <w:caps w:val="0"/>
                                <w:color w:val="000000" w:themeColor="text1"/>
                                <w:spacing w:val="0"/>
                                <w:sz w:val="32"/>
                                <w:szCs w:val="32"/>
                                <w:shd w:val="clear" w:fill="FFFFFF"/>
                                <w:lang w:val="en-US" w:eastAsia="zh-CN"/>
                                <w14:textFill>
                                  <w14:solidFill>
                                    <w14:schemeClr w14:val="tx1"/>
                                  </w14:solidFill>
                                </w14:textFill>
                              </w:rPr>
                              <w:t>城步苗族自治县</w:t>
                            </w:r>
                            <w:r>
                              <w:rPr>
                                <w:rFonts w:hint="eastAsia" w:asciiTheme="minorEastAsia" w:hAnsiTheme="minorEastAsia" w:eastAsiaTheme="minorEastAsia" w:cstheme="minorEastAsia"/>
                                <w:b/>
                                <w:bCs/>
                                <w:i w:val="0"/>
                                <w:iCs w:val="0"/>
                                <w:caps w:val="0"/>
                                <w:color w:val="000000" w:themeColor="text1"/>
                                <w:spacing w:val="0"/>
                                <w:sz w:val="32"/>
                                <w:szCs w:val="32"/>
                                <w:shd w:val="clear" w:fill="FFFFFF"/>
                                <w:lang w:eastAsia="zh-CN"/>
                                <w14:textFill>
                                  <w14:solidFill>
                                    <w14:schemeClr w14:val="tx1"/>
                                  </w14:solidFill>
                                </w14:textFill>
                              </w:rPr>
                              <w:t>发改局</w:t>
                            </w:r>
                            <w:r>
                              <w:rPr>
                                <w:rFonts w:hint="eastAsia" w:asciiTheme="minorEastAsia" w:hAnsiTheme="minorEastAsia" w:eastAsiaTheme="minorEastAsia" w:cstheme="minorEastAsia"/>
                                <w:b/>
                                <w:bCs/>
                                <w:i w:val="0"/>
                                <w:iCs w:val="0"/>
                                <w:caps w:val="0"/>
                                <w:color w:val="000000" w:themeColor="text1"/>
                                <w:spacing w:val="0"/>
                                <w:sz w:val="32"/>
                                <w:szCs w:val="32"/>
                                <w:shd w:val="clear" w:fill="FFFFFF"/>
                                <w14:textFill>
                                  <w14:solidFill>
                                    <w14:schemeClr w14:val="tx1"/>
                                  </w14:solidFill>
                                </w14:textFill>
                              </w:rPr>
                              <w:t>重大行政执法决定法制审核目录</w:t>
                            </w:r>
                          </w:p>
                          <w:p/>
                        </w:txbxContent>
                      </v:textbox>
                    </v:shape>
                  </w:pict>
                </mc:Fallback>
              </mc:AlternateContent>
            </w:r>
            <w:r>
              <w:rPr>
                <w:rFonts w:hint="eastAsia" w:ascii="黑体" w:hAnsi="宋体" w:eastAsia="黑体" w:cs="黑体"/>
                <w:b w:val="0"/>
                <w:bCs w:val="0"/>
                <w:sz w:val="21"/>
                <w:szCs w:val="21"/>
              </w:rPr>
              <w:t>重大行政执法决定事项</w:t>
            </w:r>
          </w:p>
        </w:tc>
        <w:tc>
          <w:tcPr>
            <w:tcW w:w="172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cs="Times New Roman"/>
                <w:b w:val="0"/>
                <w:bCs w:val="0"/>
                <w:sz w:val="21"/>
                <w:szCs w:val="21"/>
              </w:rPr>
            </w:pPr>
            <w:r>
              <w:rPr>
                <w:rFonts w:hint="eastAsia" w:ascii="黑体" w:hAnsi="宋体" w:eastAsia="黑体" w:cs="黑体"/>
                <w:b w:val="0"/>
                <w:bCs w:val="0"/>
                <w:sz w:val="21"/>
                <w:szCs w:val="21"/>
              </w:rPr>
              <w:t>事项类别</w:t>
            </w:r>
          </w:p>
        </w:tc>
        <w:tc>
          <w:tcPr>
            <w:tcW w:w="57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cs="Times New Roman"/>
                <w:b w:val="0"/>
                <w:bCs w:val="0"/>
                <w:sz w:val="21"/>
                <w:szCs w:val="21"/>
              </w:rPr>
            </w:pPr>
            <w:r>
              <w:rPr>
                <w:rFonts w:hint="eastAsia" w:ascii="黑体" w:hAnsi="宋体" w:eastAsia="黑体" w:cs="黑体"/>
                <w:b w:val="0"/>
                <w:bCs w:val="0"/>
                <w:sz w:val="21"/>
                <w:szCs w:val="21"/>
              </w:rPr>
              <w:t>审核依据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1</w:t>
            </w:r>
          </w:p>
        </w:tc>
        <w:tc>
          <w:tcPr>
            <w:tcW w:w="64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企业、事业单位、社会团体等投资建设固定资产投资项目核准</w:t>
            </w:r>
          </w:p>
        </w:tc>
        <w:tc>
          <w:tcPr>
            <w:tcW w:w="17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行政许可</w:t>
            </w:r>
          </w:p>
        </w:tc>
        <w:tc>
          <w:tcPr>
            <w:tcW w:w="57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《政府核准的投资项目目录》 《企业投资项目核准和备案管理条例》（国务院令第673号）《企业投资项目核准和备案管理办法 》（国家发展改革委令第2号）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2</w:t>
            </w:r>
          </w:p>
        </w:tc>
        <w:tc>
          <w:tcPr>
            <w:tcW w:w="64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固定资产投资项目年综合能耗量</w:t>
            </w:r>
            <w:r>
              <w:rPr>
                <w:rFonts w:hint="eastAsia" w:ascii="仿宋" w:hAnsi="仿宋" w:eastAsia="仿宋" w:cs="仿宋"/>
                <w:b w:val="0"/>
                <w:bCs w:val="0"/>
                <w:sz w:val="21"/>
                <w:szCs w:val="21"/>
                <w:lang w:val="en-US" w:eastAsia="zh-CN"/>
              </w:rPr>
              <w:t>1</w:t>
            </w:r>
            <w:r>
              <w:rPr>
                <w:rFonts w:hint="eastAsia" w:ascii="仿宋" w:hAnsi="仿宋" w:eastAsia="仿宋" w:cs="仿宋"/>
                <w:b w:val="0"/>
                <w:bCs w:val="0"/>
                <w:sz w:val="21"/>
                <w:szCs w:val="21"/>
              </w:rPr>
              <w:t>000吨标准煤及以上项目节能审查</w:t>
            </w:r>
          </w:p>
        </w:tc>
        <w:tc>
          <w:tcPr>
            <w:tcW w:w="17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行政许可</w:t>
            </w:r>
          </w:p>
        </w:tc>
        <w:tc>
          <w:tcPr>
            <w:tcW w:w="57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《节约能源法》《固定资产投资项目节能审查办法》（国家发展改革委令第44号）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5" w:hRule="atLeast"/>
        </w:trPr>
        <w:tc>
          <w:tcPr>
            <w:tcW w:w="7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3</w:t>
            </w:r>
          </w:p>
        </w:tc>
        <w:tc>
          <w:tcPr>
            <w:tcW w:w="64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权限内的政府投资项目审批</w:t>
            </w:r>
          </w:p>
        </w:tc>
        <w:tc>
          <w:tcPr>
            <w:tcW w:w="17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其他行政权力</w:t>
            </w:r>
          </w:p>
        </w:tc>
        <w:tc>
          <w:tcPr>
            <w:tcW w:w="57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《国务院关于投资体制改革的决定》（国发〔2004〕20号）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4</w:t>
            </w:r>
          </w:p>
        </w:tc>
        <w:tc>
          <w:tcPr>
            <w:tcW w:w="64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lang w:val="en-US" w:eastAsia="zh-CN"/>
              </w:rPr>
              <w:t>新增建设用地或</w:t>
            </w:r>
            <w:r>
              <w:rPr>
                <w:rFonts w:hint="eastAsia" w:ascii="仿宋" w:hAnsi="仿宋" w:eastAsia="仿宋" w:cs="仿宋"/>
                <w:b w:val="0"/>
                <w:bCs w:val="0"/>
                <w:sz w:val="21"/>
                <w:szCs w:val="21"/>
              </w:rPr>
              <w:t>权限内预算总投资额1000万以上投资项目的概算审查</w:t>
            </w:r>
          </w:p>
        </w:tc>
        <w:tc>
          <w:tcPr>
            <w:tcW w:w="17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其他行政权力</w:t>
            </w:r>
          </w:p>
        </w:tc>
        <w:tc>
          <w:tcPr>
            <w:tcW w:w="57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《中央预算内直接投资项目管理办法》（国家发展改革委令第7号）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5</w:t>
            </w:r>
          </w:p>
        </w:tc>
        <w:tc>
          <w:tcPr>
            <w:tcW w:w="64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制定和调整《定价目录》中已列入听证目录的商品和服务价格</w:t>
            </w:r>
          </w:p>
        </w:tc>
        <w:tc>
          <w:tcPr>
            <w:tcW w:w="17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其他行政权力</w:t>
            </w:r>
          </w:p>
        </w:tc>
        <w:tc>
          <w:tcPr>
            <w:tcW w:w="57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《中华人民共和国价格法》《政府制定价格行为规则》（国家发展改革委令第7号）《湖南省服务价格管理条例》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655" w:hRule="atLeast"/>
        </w:trPr>
        <w:tc>
          <w:tcPr>
            <w:tcW w:w="7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6</w:t>
            </w:r>
          </w:p>
        </w:tc>
        <w:tc>
          <w:tcPr>
            <w:tcW w:w="64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sz w:val="21"/>
                <w:szCs w:val="21"/>
              </w:rPr>
            </w:pPr>
            <w:r>
              <w:rPr>
                <w:rFonts w:hint="default" w:ascii="仿宋" w:hAnsi="仿宋" w:eastAsia="仿宋" w:cs="仿宋"/>
                <w:b w:val="0"/>
                <w:bCs w:val="0"/>
                <w:sz w:val="21"/>
                <w:szCs w:val="21"/>
              </w:rPr>
              <w:t>标投标活动违法行为处罚：1.对个人作出罚款1000</w:t>
            </w:r>
            <w:r>
              <w:rPr>
                <w:rFonts w:hint="eastAsia" w:ascii="仿宋" w:hAnsi="仿宋" w:eastAsia="仿宋" w:cs="仿宋"/>
                <w:b w:val="0"/>
                <w:bCs w:val="0"/>
                <w:sz w:val="21"/>
                <w:szCs w:val="21"/>
              </w:rPr>
              <w:t>元以上、对招标人、投标人、中标人和招标代理机构作出罚款</w:t>
            </w:r>
            <w:r>
              <w:rPr>
                <w:rFonts w:hint="default" w:ascii="仿宋" w:hAnsi="仿宋" w:eastAsia="仿宋" w:cs="仿宋"/>
                <w:b w:val="0"/>
                <w:bCs w:val="0"/>
                <w:sz w:val="21"/>
                <w:szCs w:val="21"/>
              </w:rPr>
              <w:t>2</w:t>
            </w:r>
            <w:r>
              <w:rPr>
                <w:rFonts w:hint="eastAsia" w:ascii="仿宋" w:hAnsi="仿宋" w:eastAsia="仿宋" w:cs="仿宋"/>
                <w:b w:val="0"/>
                <w:bCs w:val="0"/>
                <w:sz w:val="21"/>
                <w:szCs w:val="21"/>
              </w:rPr>
              <w:t>万元以上的处罚；</w:t>
            </w:r>
            <w:r>
              <w:rPr>
                <w:rFonts w:hint="default" w:ascii="仿宋" w:hAnsi="仿宋" w:eastAsia="仿宋" w:cs="仿宋"/>
                <w:b w:val="0"/>
                <w:bCs w:val="0"/>
                <w:sz w:val="21"/>
                <w:szCs w:val="21"/>
              </w:rPr>
              <w:t>2.</w:t>
            </w:r>
            <w:r>
              <w:rPr>
                <w:rFonts w:hint="eastAsia" w:ascii="仿宋" w:hAnsi="仿宋" w:eastAsia="仿宋" w:cs="仿宋"/>
                <w:b w:val="0"/>
                <w:bCs w:val="0"/>
                <w:sz w:val="21"/>
                <w:szCs w:val="21"/>
              </w:rPr>
              <w:t>取消招标人、投标人、中标人参</w:t>
            </w:r>
            <w:bookmarkStart w:id="0" w:name="_GoBack"/>
            <w:bookmarkEnd w:id="0"/>
            <w:r>
              <w:rPr>
                <w:rFonts w:hint="eastAsia" w:ascii="仿宋" w:hAnsi="仿宋" w:eastAsia="仿宋" w:cs="仿宋"/>
                <w:b w:val="0"/>
                <w:bCs w:val="0"/>
                <w:sz w:val="21"/>
                <w:szCs w:val="21"/>
              </w:rPr>
              <w:t>加依法必须进行招标的项目的投标资格一年以上；</w:t>
            </w:r>
            <w:r>
              <w:rPr>
                <w:rFonts w:hint="default" w:ascii="仿宋" w:hAnsi="仿宋" w:eastAsia="仿宋" w:cs="仿宋"/>
                <w:b w:val="0"/>
                <w:bCs w:val="0"/>
                <w:sz w:val="21"/>
                <w:szCs w:val="21"/>
              </w:rPr>
              <w:t>3.</w:t>
            </w:r>
            <w:r>
              <w:rPr>
                <w:rFonts w:hint="eastAsia" w:ascii="仿宋" w:hAnsi="仿宋" w:eastAsia="仿宋" w:cs="仿宋"/>
                <w:b w:val="0"/>
                <w:bCs w:val="0"/>
                <w:sz w:val="21"/>
                <w:szCs w:val="21"/>
              </w:rPr>
              <w:t>取消评标委员会成员资格以及不得再参加任何依法必须进行招标的项目的评标</w:t>
            </w:r>
          </w:p>
        </w:tc>
        <w:tc>
          <w:tcPr>
            <w:tcW w:w="17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行政处罚</w:t>
            </w:r>
          </w:p>
        </w:tc>
        <w:tc>
          <w:tcPr>
            <w:tcW w:w="57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《中华人民共和国招标投标法》《中华人民共和国招标投标法实施条例》（国务院令第613号）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7</w:t>
            </w:r>
          </w:p>
        </w:tc>
        <w:tc>
          <w:tcPr>
            <w:tcW w:w="64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对政府投资项目代建单位违规违约行为</w:t>
            </w:r>
            <w:r>
              <w:rPr>
                <w:rFonts w:hint="eastAsia" w:ascii="仿宋" w:hAnsi="仿宋" w:eastAsia="仿宋" w:cs="仿宋"/>
                <w:b w:val="0"/>
                <w:bCs w:val="0"/>
                <w:color w:val="333333"/>
                <w:sz w:val="21"/>
                <w:szCs w:val="21"/>
                <w:shd w:val="clear" w:fill="FFFFFF"/>
              </w:rPr>
              <w:t>作出三年内不得参与代建活动的处罚</w:t>
            </w:r>
          </w:p>
        </w:tc>
        <w:tc>
          <w:tcPr>
            <w:tcW w:w="17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行政处罚</w:t>
            </w:r>
          </w:p>
        </w:tc>
        <w:tc>
          <w:tcPr>
            <w:tcW w:w="57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sz w:val="21"/>
                <w:szCs w:val="21"/>
              </w:rPr>
            </w:pPr>
            <w:r>
              <w:rPr>
                <w:rFonts w:hint="eastAsia" w:ascii="仿宋" w:hAnsi="仿宋" w:eastAsia="仿宋" w:cs="仿宋"/>
                <w:b w:val="0"/>
                <w:bCs w:val="0"/>
                <w:sz w:val="21"/>
                <w:szCs w:val="21"/>
              </w:rPr>
              <w:t>《湖南省政府投资项目代建制管理办法》（湖南省人民政府令第241号）</w:t>
            </w:r>
          </w:p>
        </w:tc>
      </w:tr>
    </w:tbl>
    <w:tbl>
      <w:tblPr>
        <w:tblStyle w:val="3"/>
        <w:tblW w:w="1470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44"/>
        <w:gridCol w:w="6485"/>
        <w:gridCol w:w="1728"/>
        <w:gridCol w:w="574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18" w:hRule="atLeast"/>
          <w:jc w:val="center"/>
        </w:trPr>
        <w:tc>
          <w:tcPr>
            <w:tcW w:w="7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sz w:val="21"/>
                <w:szCs w:val="21"/>
              </w:rPr>
            </w:pPr>
            <w:r>
              <w:rPr>
                <w:rFonts w:hint="eastAsia" w:ascii="仿宋" w:hAnsi="仿宋" w:eastAsia="仿宋" w:cs="仿宋"/>
                <w:sz w:val="21"/>
                <w:szCs w:val="21"/>
              </w:rPr>
              <w:t>8</w:t>
            </w:r>
          </w:p>
        </w:tc>
        <w:tc>
          <w:tcPr>
            <w:tcW w:w="648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仿宋" w:hAnsi="仿宋" w:eastAsia="仿宋" w:cs="仿宋"/>
                <w:sz w:val="21"/>
                <w:szCs w:val="21"/>
              </w:rPr>
            </w:pPr>
            <w:r>
              <w:rPr>
                <w:rFonts w:hint="eastAsia" w:ascii="仿宋" w:hAnsi="仿宋" w:eastAsia="仿宋" w:cs="仿宋"/>
                <w:sz w:val="21"/>
                <w:szCs w:val="21"/>
              </w:rPr>
              <w:t>对固定资产投资项目建设单位开工建设不符合强制性节能标准的项目或者将该项目投入生产、使用行为作出责令停止建设或者停止生产、使用，限期改造的处罚</w:t>
            </w:r>
          </w:p>
        </w:tc>
        <w:tc>
          <w:tcPr>
            <w:tcW w:w="172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sz w:val="21"/>
                <w:szCs w:val="21"/>
              </w:rPr>
            </w:pPr>
            <w:r>
              <w:rPr>
                <w:rFonts w:hint="eastAsia" w:ascii="仿宋" w:hAnsi="仿宋" w:eastAsia="仿宋" w:cs="仿宋"/>
                <w:sz w:val="21"/>
                <w:szCs w:val="21"/>
              </w:rPr>
              <w:t>行政处罚</w:t>
            </w:r>
          </w:p>
        </w:tc>
        <w:tc>
          <w:tcPr>
            <w:tcW w:w="57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仿宋" w:hAnsi="仿宋" w:eastAsia="仿宋" w:cs="仿宋"/>
                <w:sz w:val="21"/>
                <w:szCs w:val="21"/>
              </w:rPr>
            </w:pPr>
            <w:r>
              <w:rPr>
                <w:rFonts w:hint="eastAsia" w:ascii="仿宋" w:hAnsi="仿宋" w:eastAsia="仿宋" w:cs="仿宋"/>
                <w:sz w:val="21"/>
                <w:szCs w:val="21"/>
              </w:rPr>
              <w:t>《中华人民共和国节约能源法》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sz w:val="21"/>
                <w:szCs w:val="21"/>
              </w:rPr>
            </w:pPr>
            <w:r>
              <w:rPr>
                <w:rFonts w:hint="eastAsia" w:ascii="仿宋" w:hAnsi="仿宋" w:eastAsia="仿宋" w:cs="仿宋"/>
                <w:sz w:val="21"/>
                <w:szCs w:val="21"/>
              </w:rPr>
              <w:t>9</w:t>
            </w:r>
          </w:p>
        </w:tc>
        <w:tc>
          <w:tcPr>
            <w:tcW w:w="64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仿宋" w:hAnsi="仿宋" w:eastAsia="仿宋" w:cs="仿宋"/>
                <w:sz w:val="21"/>
                <w:szCs w:val="21"/>
              </w:rPr>
            </w:pPr>
            <w:r>
              <w:rPr>
                <w:rFonts w:hint="eastAsia" w:ascii="仿宋" w:hAnsi="仿宋" w:eastAsia="仿宋" w:cs="仿宋"/>
                <w:sz w:val="21"/>
                <w:szCs w:val="21"/>
              </w:rPr>
              <w:t>对使用国家明令淘汰的用能设备或者生产工艺行为作出责令停止使用、没收国家明令淘汰的用能设备的处罚的处罚</w:t>
            </w:r>
          </w:p>
        </w:tc>
        <w:tc>
          <w:tcPr>
            <w:tcW w:w="17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sz w:val="21"/>
                <w:szCs w:val="21"/>
              </w:rPr>
            </w:pPr>
            <w:r>
              <w:rPr>
                <w:rFonts w:hint="eastAsia" w:ascii="仿宋" w:hAnsi="仿宋" w:eastAsia="仿宋" w:cs="仿宋"/>
                <w:sz w:val="21"/>
                <w:szCs w:val="21"/>
              </w:rPr>
              <w:t>行政处罚</w:t>
            </w:r>
          </w:p>
        </w:tc>
        <w:tc>
          <w:tcPr>
            <w:tcW w:w="57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仿宋" w:hAnsi="仿宋" w:eastAsia="仿宋" w:cs="仿宋"/>
                <w:sz w:val="21"/>
                <w:szCs w:val="21"/>
              </w:rPr>
            </w:pPr>
            <w:r>
              <w:rPr>
                <w:rFonts w:hint="eastAsia" w:ascii="仿宋" w:hAnsi="仿宋" w:eastAsia="仿宋" w:cs="仿宋"/>
                <w:sz w:val="21"/>
                <w:szCs w:val="21"/>
              </w:rPr>
              <w:t>《中华人民共和国节约能源法》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sz w:val="21"/>
                <w:szCs w:val="21"/>
              </w:rPr>
            </w:pPr>
            <w:r>
              <w:rPr>
                <w:rFonts w:hint="eastAsia" w:ascii="仿宋" w:hAnsi="仿宋" w:eastAsia="仿宋" w:cs="仿宋"/>
                <w:sz w:val="21"/>
                <w:szCs w:val="21"/>
              </w:rPr>
              <w:t>10</w:t>
            </w:r>
          </w:p>
        </w:tc>
        <w:tc>
          <w:tcPr>
            <w:tcW w:w="64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仿宋" w:hAnsi="仿宋" w:eastAsia="仿宋" w:cs="仿宋"/>
                <w:sz w:val="21"/>
                <w:szCs w:val="21"/>
              </w:rPr>
            </w:pPr>
            <w:r>
              <w:rPr>
                <w:rFonts w:hint="eastAsia" w:ascii="仿宋" w:hAnsi="仿宋" w:eastAsia="仿宋" w:cs="仿宋"/>
                <w:sz w:val="21"/>
                <w:szCs w:val="21"/>
              </w:rPr>
              <w:t>对从事节能咨询、设计、评估、检测、审计、认证等服务的机构提供虚假信息行为作出没收违法所得，并处五万元以上罚款的处罚</w:t>
            </w:r>
          </w:p>
        </w:tc>
        <w:tc>
          <w:tcPr>
            <w:tcW w:w="17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sz w:val="21"/>
                <w:szCs w:val="21"/>
              </w:rPr>
            </w:pPr>
            <w:r>
              <w:rPr>
                <w:rFonts w:hint="eastAsia" w:ascii="仿宋" w:hAnsi="仿宋" w:eastAsia="仿宋" w:cs="仿宋"/>
                <w:sz w:val="21"/>
                <w:szCs w:val="21"/>
              </w:rPr>
              <w:t>行政处罚</w:t>
            </w:r>
          </w:p>
        </w:tc>
        <w:tc>
          <w:tcPr>
            <w:tcW w:w="57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仿宋" w:hAnsi="仿宋" w:eastAsia="仿宋" w:cs="仿宋"/>
                <w:sz w:val="21"/>
                <w:szCs w:val="21"/>
              </w:rPr>
            </w:pPr>
            <w:r>
              <w:rPr>
                <w:rFonts w:hint="eastAsia" w:ascii="仿宋" w:hAnsi="仿宋" w:eastAsia="仿宋" w:cs="仿宋"/>
                <w:sz w:val="21"/>
                <w:szCs w:val="21"/>
              </w:rPr>
              <w:t>《中华人民共和国节约能源法》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5" w:hRule="atLeast"/>
          <w:jc w:val="center"/>
        </w:trPr>
        <w:tc>
          <w:tcPr>
            <w:tcW w:w="7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sz w:val="21"/>
                <w:szCs w:val="21"/>
              </w:rPr>
            </w:pPr>
            <w:r>
              <w:rPr>
                <w:rFonts w:hint="eastAsia" w:ascii="仿宋" w:hAnsi="仿宋" w:eastAsia="仿宋" w:cs="仿宋"/>
                <w:sz w:val="21"/>
                <w:szCs w:val="21"/>
              </w:rPr>
              <w:t>11</w:t>
            </w:r>
          </w:p>
        </w:tc>
        <w:tc>
          <w:tcPr>
            <w:tcW w:w="64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仿宋" w:hAnsi="仿宋" w:eastAsia="仿宋" w:cs="仿宋"/>
                <w:sz w:val="21"/>
                <w:szCs w:val="21"/>
              </w:rPr>
            </w:pPr>
            <w:r>
              <w:rPr>
                <w:rFonts w:hint="eastAsia" w:ascii="仿宋" w:hAnsi="仿宋" w:eastAsia="仿宋" w:cs="仿宋"/>
                <w:sz w:val="21"/>
                <w:szCs w:val="21"/>
              </w:rPr>
              <w:t>对重点用能单位未履行节能管理义务作出二万元以上罚款的处罚</w:t>
            </w:r>
          </w:p>
        </w:tc>
        <w:tc>
          <w:tcPr>
            <w:tcW w:w="17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sz w:val="21"/>
                <w:szCs w:val="21"/>
              </w:rPr>
            </w:pPr>
            <w:r>
              <w:rPr>
                <w:rFonts w:hint="eastAsia" w:ascii="仿宋" w:hAnsi="仿宋" w:eastAsia="仿宋" w:cs="仿宋"/>
                <w:sz w:val="21"/>
                <w:szCs w:val="21"/>
              </w:rPr>
              <w:t>行政处罚</w:t>
            </w:r>
          </w:p>
        </w:tc>
        <w:tc>
          <w:tcPr>
            <w:tcW w:w="57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仿宋" w:hAnsi="仿宋" w:eastAsia="仿宋" w:cs="仿宋"/>
                <w:sz w:val="21"/>
                <w:szCs w:val="21"/>
              </w:rPr>
            </w:pPr>
            <w:r>
              <w:rPr>
                <w:rFonts w:hint="eastAsia" w:ascii="仿宋" w:hAnsi="仿宋" w:eastAsia="仿宋" w:cs="仿宋"/>
                <w:sz w:val="21"/>
                <w:szCs w:val="21"/>
              </w:rPr>
              <w:t>《中华人民共和国节约能源法》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sz w:val="21"/>
                <w:szCs w:val="21"/>
              </w:rPr>
            </w:pPr>
            <w:r>
              <w:rPr>
                <w:rFonts w:hint="eastAsia" w:ascii="仿宋" w:hAnsi="仿宋" w:eastAsia="仿宋" w:cs="仿宋"/>
                <w:sz w:val="21"/>
                <w:szCs w:val="21"/>
              </w:rPr>
              <w:t>12</w:t>
            </w:r>
          </w:p>
        </w:tc>
        <w:tc>
          <w:tcPr>
            <w:tcW w:w="64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仿宋" w:hAnsi="仿宋" w:eastAsia="仿宋" w:cs="仿宋"/>
                <w:sz w:val="21"/>
                <w:szCs w:val="21"/>
              </w:rPr>
            </w:pPr>
            <w:r>
              <w:rPr>
                <w:rFonts w:hint="eastAsia" w:ascii="仿宋" w:hAnsi="仿宋" w:eastAsia="仿宋" w:cs="仿宋"/>
                <w:sz w:val="21"/>
                <w:szCs w:val="21"/>
              </w:rPr>
              <w:t>对违规无偿向本单位职工提供能源或者对能源消费实行包费制行为作出二万元以上罚款的处罚</w:t>
            </w:r>
          </w:p>
        </w:tc>
        <w:tc>
          <w:tcPr>
            <w:tcW w:w="17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sz w:val="21"/>
                <w:szCs w:val="21"/>
              </w:rPr>
            </w:pPr>
            <w:r>
              <w:rPr>
                <w:rFonts w:hint="eastAsia" w:ascii="仿宋" w:hAnsi="仿宋" w:eastAsia="仿宋" w:cs="仿宋"/>
                <w:sz w:val="21"/>
                <w:szCs w:val="21"/>
              </w:rPr>
              <w:t>行政处罚</w:t>
            </w:r>
          </w:p>
        </w:tc>
        <w:tc>
          <w:tcPr>
            <w:tcW w:w="57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仿宋" w:hAnsi="仿宋" w:eastAsia="仿宋" w:cs="仿宋"/>
                <w:sz w:val="21"/>
                <w:szCs w:val="21"/>
              </w:rPr>
            </w:pPr>
            <w:r>
              <w:rPr>
                <w:rFonts w:hint="eastAsia" w:ascii="仿宋" w:hAnsi="仿宋" w:eastAsia="仿宋" w:cs="仿宋"/>
                <w:sz w:val="21"/>
                <w:szCs w:val="21"/>
              </w:rPr>
              <w:t>《中华人民共和国节约能源法》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sz w:val="21"/>
                <w:szCs w:val="21"/>
              </w:rPr>
            </w:pPr>
            <w:r>
              <w:rPr>
                <w:rFonts w:hint="eastAsia" w:ascii="仿宋" w:hAnsi="仿宋" w:eastAsia="仿宋" w:cs="仿宋"/>
                <w:sz w:val="21"/>
                <w:szCs w:val="21"/>
              </w:rPr>
              <w:t>13</w:t>
            </w:r>
          </w:p>
        </w:tc>
        <w:tc>
          <w:tcPr>
            <w:tcW w:w="64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仿宋" w:hAnsi="仿宋" w:eastAsia="仿宋" w:cs="仿宋"/>
                <w:sz w:val="21"/>
                <w:szCs w:val="21"/>
              </w:rPr>
            </w:pPr>
            <w:r>
              <w:rPr>
                <w:rFonts w:hint="eastAsia" w:ascii="仿宋" w:hAnsi="仿宋" w:eastAsia="仿宋" w:cs="仿宋"/>
                <w:sz w:val="21"/>
                <w:szCs w:val="21"/>
              </w:rPr>
              <w:t>对未按照规定公布能源消耗或者重点污染物产生、排放情况的</w:t>
            </w:r>
            <w:r>
              <w:rPr>
                <w:rFonts w:hint="eastAsia" w:ascii="仿宋" w:hAnsi="仿宋" w:eastAsia="仿宋" w:cs="仿宋"/>
                <w:color w:val="333333"/>
                <w:sz w:val="21"/>
                <w:szCs w:val="21"/>
                <w:shd w:val="clear" w:fill="FFFFFF"/>
              </w:rPr>
              <w:t>企业作出二万元以上罚款的</w:t>
            </w:r>
            <w:r>
              <w:rPr>
                <w:rFonts w:hint="eastAsia" w:ascii="仿宋" w:hAnsi="仿宋" w:eastAsia="仿宋" w:cs="仿宋"/>
                <w:sz w:val="21"/>
                <w:szCs w:val="21"/>
              </w:rPr>
              <w:t>处罚</w:t>
            </w:r>
          </w:p>
        </w:tc>
        <w:tc>
          <w:tcPr>
            <w:tcW w:w="17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sz w:val="21"/>
                <w:szCs w:val="21"/>
              </w:rPr>
            </w:pPr>
            <w:r>
              <w:rPr>
                <w:rFonts w:hint="eastAsia" w:ascii="仿宋" w:hAnsi="仿宋" w:eastAsia="仿宋" w:cs="仿宋"/>
                <w:sz w:val="21"/>
                <w:szCs w:val="21"/>
              </w:rPr>
              <w:t>行政处罚</w:t>
            </w:r>
          </w:p>
        </w:tc>
        <w:tc>
          <w:tcPr>
            <w:tcW w:w="57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仿宋" w:hAnsi="仿宋" w:eastAsia="仿宋" w:cs="仿宋"/>
                <w:sz w:val="21"/>
                <w:szCs w:val="21"/>
              </w:rPr>
            </w:pPr>
            <w:r>
              <w:rPr>
                <w:rFonts w:hint="eastAsia" w:ascii="仿宋" w:hAnsi="仿宋" w:eastAsia="仿宋" w:cs="仿宋"/>
                <w:sz w:val="21"/>
                <w:szCs w:val="21"/>
              </w:rPr>
              <w:t>《中华人民共和国清洁生产促进法》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sz w:val="21"/>
                <w:szCs w:val="21"/>
              </w:rPr>
            </w:pPr>
            <w:r>
              <w:rPr>
                <w:rFonts w:hint="eastAsia" w:ascii="仿宋" w:hAnsi="仿宋" w:eastAsia="仿宋" w:cs="仿宋"/>
                <w:sz w:val="21"/>
                <w:szCs w:val="21"/>
              </w:rPr>
              <w:t>14</w:t>
            </w:r>
          </w:p>
        </w:tc>
        <w:tc>
          <w:tcPr>
            <w:tcW w:w="64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仿宋" w:hAnsi="仿宋" w:eastAsia="仿宋" w:cs="仿宋"/>
                <w:sz w:val="21"/>
                <w:szCs w:val="21"/>
              </w:rPr>
            </w:pPr>
            <w:r>
              <w:rPr>
                <w:rFonts w:hint="eastAsia" w:ascii="仿宋" w:hAnsi="仿宋" w:eastAsia="仿宋" w:cs="仿宋"/>
                <w:sz w:val="21"/>
                <w:szCs w:val="21"/>
              </w:rPr>
              <w:t>对不实施强制清洁生产审核或在清洁生产审核中弄虚作假的，或者实施强制清洁生产审核的企业不报告或者不如实报告审核结果的</w:t>
            </w:r>
            <w:r>
              <w:rPr>
                <w:rFonts w:hint="eastAsia" w:ascii="仿宋" w:hAnsi="仿宋" w:eastAsia="仿宋" w:cs="仿宋"/>
                <w:color w:val="333333"/>
                <w:sz w:val="21"/>
                <w:szCs w:val="21"/>
                <w:shd w:val="clear" w:fill="FFFFFF"/>
              </w:rPr>
              <w:t>企业作出五万元以上罚款的</w:t>
            </w:r>
            <w:r>
              <w:rPr>
                <w:rFonts w:hint="eastAsia" w:ascii="仿宋" w:hAnsi="仿宋" w:eastAsia="仿宋" w:cs="仿宋"/>
                <w:sz w:val="21"/>
                <w:szCs w:val="21"/>
              </w:rPr>
              <w:t>处罚</w:t>
            </w:r>
          </w:p>
        </w:tc>
        <w:tc>
          <w:tcPr>
            <w:tcW w:w="17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sz w:val="21"/>
                <w:szCs w:val="21"/>
              </w:rPr>
            </w:pPr>
            <w:r>
              <w:rPr>
                <w:rFonts w:hint="eastAsia" w:ascii="仿宋" w:hAnsi="仿宋" w:eastAsia="仿宋" w:cs="仿宋"/>
                <w:sz w:val="21"/>
                <w:szCs w:val="21"/>
              </w:rPr>
              <w:t>行政处罚</w:t>
            </w:r>
          </w:p>
        </w:tc>
        <w:tc>
          <w:tcPr>
            <w:tcW w:w="57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仿宋" w:hAnsi="仿宋" w:eastAsia="仿宋" w:cs="仿宋"/>
                <w:sz w:val="21"/>
                <w:szCs w:val="21"/>
              </w:rPr>
            </w:pPr>
            <w:r>
              <w:rPr>
                <w:rFonts w:hint="eastAsia" w:ascii="仿宋" w:hAnsi="仿宋" w:eastAsia="仿宋" w:cs="仿宋"/>
                <w:sz w:val="21"/>
                <w:szCs w:val="21"/>
              </w:rPr>
              <w:t>《中华人民共和国清洁生产促进法》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sz w:val="21"/>
                <w:szCs w:val="21"/>
              </w:rPr>
            </w:pPr>
            <w:r>
              <w:rPr>
                <w:rFonts w:hint="eastAsia" w:ascii="仿宋" w:hAnsi="仿宋" w:eastAsia="仿宋" w:cs="仿宋"/>
                <w:sz w:val="21"/>
                <w:szCs w:val="21"/>
              </w:rPr>
              <w:t>15</w:t>
            </w:r>
          </w:p>
        </w:tc>
        <w:tc>
          <w:tcPr>
            <w:tcW w:w="64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仿宋" w:hAnsi="仿宋" w:eastAsia="仿宋" w:cs="仿宋"/>
                <w:sz w:val="21"/>
                <w:szCs w:val="21"/>
              </w:rPr>
            </w:pPr>
            <w:r>
              <w:rPr>
                <w:rFonts w:hint="eastAsia" w:ascii="仿宋" w:hAnsi="仿宋" w:eastAsia="仿宋" w:cs="仿宋"/>
                <w:sz w:val="21"/>
                <w:szCs w:val="21"/>
              </w:rPr>
              <w:t>对经营燃气管网、热力管网的企业不准许符合入网技术标准的燃气、热力入网行为作出</w:t>
            </w:r>
            <w:r>
              <w:rPr>
                <w:rFonts w:hint="eastAsia" w:ascii="仿宋" w:hAnsi="仿宋" w:eastAsia="仿宋" w:cs="仿宋"/>
                <w:color w:val="333333"/>
                <w:sz w:val="21"/>
                <w:szCs w:val="21"/>
                <w:shd w:val="clear" w:fill="FFFFFF"/>
              </w:rPr>
              <w:t>二万元以上罚款的处罚</w:t>
            </w:r>
          </w:p>
        </w:tc>
        <w:tc>
          <w:tcPr>
            <w:tcW w:w="17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sz w:val="21"/>
                <w:szCs w:val="21"/>
              </w:rPr>
            </w:pPr>
            <w:r>
              <w:rPr>
                <w:rFonts w:hint="eastAsia" w:ascii="仿宋" w:hAnsi="仿宋" w:eastAsia="仿宋" w:cs="仿宋"/>
                <w:sz w:val="21"/>
                <w:szCs w:val="21"/>
              </w:rPr>
              <w:t>行政处罚</w:t>
            </w:r>
          </w:p>
        </w:tc>
        <w:tc>
          <w:tcPr>
            <w:tcW w:w="57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仿宋" w:hAnsi="仿宋" w:eastAsia="仿宋" w:cs="仿宋"/>
                <w:sz w:val="21"/>
                <w:szCs w:val="21"/>
              </w:rPr>
            </w:pPr>
            <w:r>
              <w:rPr>
                <w:rFonts w:hint="eastAsia" w:ascii="仿宋" w:hAnsi="仿宋" w:eastAsia="仿宋" w:cs="仿宋"/>
                <w:sz w:val="21"/>
                <w:szCs w:val="21"/>
              </w:rPr>
              <w:t>《中华人民共和国可再生能源法》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sz w:val="21"/>
                <w:szCs w:val="21"/>
              </w:rPr>
            </w:pPr>
            <w:r>
              <w:rPr>
                <w:rFonts w:hint="eastAsia" w:ascii="仿宋" w:hAnsi="仿宋" w:eastAsia="仿宋" w:cs="仿宋"/>
                <w:sz w:val="21"/>
                <w:szCs w:val="21"/>
              </w:rPr>
              <w:t>16</w:t>
            </w:r>
          </w:p>
        </w:tc>
        <w:tc>
          <w:tcPr>
            <w:tcW w:w="64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仿宋" w:hAnsi="仿宋" w:eastAsia="仿宋" w:cs="仿宋"/>
                <w:sz w:val="21"/>
                <w:szCs w:val="21"/>
              </w:rPr>
            </w:pPr>
            <w:r>
              <w:rPr>
                <w:rFonts w:hint="eastAsia" w:ascii="仿宋" w:hAnsi="仿宋" w:eastAsia="仿宋" w:cs="仿宋"/>
                <w:sz w:val="21"/>
                <w:szCs w:val="21"/>
              </w:rPr>
              <w:t>对国民经济、社会发展和公共安全有重大影响的企业投资项目开展监督检查，作出责令</w:t>
            </w:r>
            <w:r>
              <w:rPr>
                <w:rFonts w:hint="eastAsia" w:ascii="仿宋" w:hAnsi="仿宋" w:eastAsia="仿宋" w:cs="仿宋"/>
                <w:color w:val="333333"/>
                <w:sz w:val="21"/>
                <w:szCs w:val="21"/>
                <w:shd w:val="clear" w:fill="FFFFFF"/>
              </w:rPr>
              <w:t>停止建设或限期整改的处理</w:t>
            </w:r>
          </w:p>
        </w:tc>
        <w:tc>
          <w:tcPr>
            <w:tcW w:w="17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sz w:val="21"/>
                <w:szCs w:val="21"/>
              </w:rPr>
            </w:pPr>
            <w:r>
              <w:rPr>
                <w:rFonts w:hint="eastAsia" w:ascii="仿宋" w:hAnsi="仿宋" w:eastAsia="仿宋" w:cs="仿宋"/>
                <w:sz w:val="21"/>
                <w:szCs w:val="21"/>
              </w:rPr>
              <w:t>行政处罚</w:t>
            </w:r>
          </w:p>
        </w:tc>
        <w:tc>
          <w:tcPr>
            <w:tcW w:w="57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仿宋" w:hAnsi="仿宋" w:eastAsia="仿宋" w:cs="仿宋"/>
                <w:sz w:val="21"/>
                <w:szCs w:val="21"/>
              </w:rPr>
            </w:pPr>
            <w:r>
              <w:rPr>
                <w:rFonts w:hint="eastAsia" w:ascii="仿宋" w:hAnsi="仿宋" w:eastAsia="仿宋" w:cs="仿宋"/>
                <w:sz w:val="21"/>
                <w:szCs w:val="21"/>
              </w:rPr>
              <w:t>《国务院关于投资体制改革的决定》（国发〔2004〕20号）《政府核准投资项目管理办法》（国家发展改革委令第11号）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sz w:val="21"/>
                <w:szCs w:val="21"/>
              </w:rPr>
            </w:pPr>
            <w:r>
              <w:rPr>
                <w:rFonts w:hint="eastAsia" w:ascii="仿宋" w:hAnsi="仿宋" w:eastAsia="仿宋" w:cs="仿宋"/>
                <w:sz w:val="21"/>
                <w:szCs w:val="21"/>
              </w:rPr>
              <w:t>17</w:t>
            </w:r>
          </w:p>
        </w:tc>
        <w:tc>
          <w:tcPr>
            <w:tcW w:w="64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仿宋" w:hAnsi="仿宋" w:eastAsia="仿宋" w:cs="仿宋"/>
                <w:sz w:val="21"/>
                <w:szCs w:val="21"/>
              </w:rPr>
            </w:pPr>
            <w:r>
              <w:rPr>
                <w:rFonts w:hint="eastAsia" w:ascii="仿宋" w:hAnsi="仿宋" w:eastAsia="仿宋" w:cs="仿宋"/>
                <w:color w:val="333333"/>
                <w:sz w:val="21"/>
                <w:szCs w:val="21"/>
                <w:shd w:val="clear" w:fill="FFFFFF"/>
              </w:rPr>
              <w:t>对未按规定进行节能评估和审查，或节能审查未获通过，擅自开工建设或擅自投入生产、使用的固定资产投资项目，责令停止建设或停止生产、使用以及限期改造</w:t>
            </w:r>
          </w:p>
        </w:tc>
        <w:tc>
          <w:tcPr>
            <w:tcW w:w="172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sz w:val="21"/>
                <w:szCs w:val="21"/>
              </w:rPr>
            </w:pPr>
            <w:r>
              <w:rPr>
                <w:rFonts w:hint="eastAsia" w:ascii="仿宋" w:hAnsi="仿宋" w:eastAsia="仿宋" w:cs="仿宋"/>
                <w:sz w:val="21"/>
                <w:szCs w:val="21"/>
              </w:rPr>
              <w:t>行政处罚</w:t>
            </w:r>
          </w:p>
        </w:tc>
        <w:tc>
          <w:tcPr>
            <w:tcW w:w="57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仿宋" w:hAnsi="仿宋" w:eastAsia="仿宋" w:cs="仿宋"/>
                <w:sz w:val="21"/>
                <w:szCs w:val="21"/>
              </w:rPr>
            </w:pPr>
            <w:r>
              <w:rPr>
                <w:rFonts w:hint="eastAsia" w:ascii="仿宋" w:hAnsi="仿宋" w:eastAsia="仿宋" w:cs="仿宋"/>
                <w:sz w:val="21"/>
                <w:szCs w:val="21"/>
              </w:rPr>
              <w:t>《中华人民共和国节约能源法》《固定资产投资项目节能审查办法》（国家发展改革委令第44号）</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480"/>
        <w:jc w:val="both"/>
        <w:textAlignment w:val="auto"/>
        <w:rPr>
          <w:rFonts w:hint="default" w:ascii="Times New Roman" w:hAnsi="Times New Roman" w:cs="Times New Roman"/>
          <w:sz w:val="21"/>
          <w:szCs w:val="21"/>
        </w:rPr>
      </w:pPr>
      <w:r>
        <w:rPr>
          <w:rFonts w:hint="eastAsia" w:ascii="宋体" w:hAnsi="宋体" w:eastAsia="宋体" w:cs="宋体"/>
          <w:i w:val="0"/>
          <w:iCs w:val="0"/>
          <w:caps w:val="0"/>
          <w:color w:val="666666"/>
          <w:spacing w:val="0"/>
          <w:sz w:val="24"/>
          <w:szCs w:val="24"/>
          <w:shd w:val="clear" w:fill="FFFFFF"/>
        </w:rPr>
        <w:t>本目录清单中所称的以上、以下等均包含本数。</w:t>
      </w:r>
    </w:p>
    <w:p/>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xZWFiNDk2N2I5M2JhYTJlNTY1OWVlYjY3NTk1OTQifQ=="/>
  </w:docVars>
  <w:rsids>
    <w:rsidRoot w:val="00000000"/>
    <w:rsid w:val="2C386B0D"/>
    <w:rsid w:val="398E62F7"/>
    <w:rsid w:val="6CD47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2023-11-21T07:14:00Z</dcterms:created>
  <dc:creator>Administrator</dc:creator>
  <cp:lastModifiedBy>Pororo</cp:lastModifiedBy>
  <dcterms:modified xsi:type="dcterms:W3CDTF">2023-12-29T06:42:44Z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AFAF7E452C934CF6B3A6F128D74C630B_12</vt:lpwstr>
  </property>
</Properties>
</file>